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4978" w14:textId="77777777" w:rsidR="00C01A5B" w:rsidRPr="005E411D" w:rsidRDefault="00C01A5B" w:rsidP="00C01A5B">
      <w:pPr>
        <w:pStyle w:val="paragraph"/>
        <w:spacing w:before="0" w:beforeAutospacing="0" w:after="0" w:afterAutospacing="0"/>
        <w:jc w:val="center"/>
        <w:textAlignment w:val="baseline"/>
        <w:rPr>
          <w:sz w:val="26"/>
          <w:szCs w:val="26"/>
        </w:rPr>
      </w:pPr>
      <w:r w:rsidRPr="005E411D">
        <w:rPr>
          <w:rStyle w:val="normaltextrun"/>
          <w:rFonts w:eastAsiaTheme="majorEastAsia"/>
          <w:i/>
          <w:iCs/>
          <w:sz w:val="26"/>
          <w:szCs w:val="26"/>
        </w:rPr>
        <w:t>Testimony of</w:t>
      </w:r>
      <w:r w:rsidRPr="005E411D">
        <w:rPr>
          <w:rStyle w:val="eop"/>
          <w:rFonts w:eastAsiaTheme="majorEastAsia"/>
          <w:sz w:val="26"/>
          <w:szCs w:val="26"/>
        </w:rPr>
        <w:t> </w:t>
      </w:r>
    </w:p>
    <w:p w14:paraId="03FE5A23" w14:textId="77777777" w:rsidR="00C01A5B" w:rsidRPr="005E411D" w:rsidRDefault="00C01A5B" w:rsidP="00C01A5B">
      <w:pPr>
        <w:pStyle w:val="paragraph"/>
        <w:spacing w:before="0" w:beforeAutospacing="0" w:after="0" w:afterAutospacing="0"/>
        <w:jc w:val="center"/>
        <w:textAlignment w:val="baseline"/>
        <w:rPr>
          <w:sz w:val="26"/>
          <w:szCs w:val="26"/>
        </w:rPr>
      </w:pPr>
      <w:r w:rsidRPr="005E411D">
        <w:rPr>
          <w:rStyle w:val="eop"/>
          <w:rFonts w:eastAsiaTheme="majorEastAsia"/>
          <w:sz w:val="26"/>
          <w:szCs w:val="26"/>
        </w:rPr>
        <w:t> </w:t>
      </w:r>
    </w:p>
    <w:p w14:paraId="4FD4A683" w14:textId="03957080" w:rsidR="00C01A5B" w:rsidRPr="00C7180A" w:rsidRDefault="00C968EA" w:rsidP="00C01A5B">
      <w:pPr>
        <w:pStyle w:val="paragraph"/>
        <w:spacing w:before="0" w:beforeAutospacing="0" w:after="0" w:afterAutospacing="0"/>
        <w:jc w:val="center"/>
        <w:textAlignment w:val="baseline"/>
      </w:pPr>
      <w:r>
        <w:rPr>
          <w:rStyle w:val="normaltextrun"/>
          <w:rFonts w:eastAsiaTheme="majorEastAsia"/>
          <w:b/>
          <w:bCs/>
        </w:rPr>
        <w:t xml:space="preserve">Kate </w:t>
      </w:r>
      <w:r w:rsidR="00C40D22">
        <w:rPr>
          <w:rStyle w:val="normaltextrun"/>
          <w:rFonts w:eastAsiaTheme="majorEastAsia"/>
          <w:b/>
          <w:bCs/>
        </w:rPr>
        <w:t>Dias</w:t>
      </w:r>
    </w:p>
    <w:p w14:paraId="2C04D977" w14:textId="77777777" w:rsidR="00C01A5B" w:rsidRPr="00C7180A" w:rsidRDefault="00C01A5B" w:rsidP="00C01A5B">
      <w:pPr>
        <w:pStyle w:val="paragraph"/>
        <w:spacing w:before="0" w:beforeAutospacing="0" w:after="0" w:afterAutospacing="0"/>
        <w:jc w:val="center"/>
        <w:textAlignment w:val="baseline"/>
      </w:pPr>
      <w:r w:rsidRPr="00C7180A">
        <w:rPr>
          <w:rStyle w:val="normaltextrun"/>
          <w:rFonts w:eastAsiaTheme="majorEastAsia"/>
          <w:b/>
          <w:bCs/>
        </w:rPr>
        <w:t>Connecticut Education Association</w:t>
      </w:r>
      <w:r w:rsidRPr="00C7180A">
        <w:rPr>
          <w:rStyle w:val="eop"/>
          <w:rFonts w:eastAsiaTheme="majorEastAsia"/>
        </w:rPr>
        <w:t> </w:t>
      </w:r>
    </w:p>
    <w:p w14:paraId="511776F5" w14:textId="77777777" w:rsidR="00C01A5B" w:rsidRPr="00C7180A" w:rsidRDefault="00C01A5B" w:rsidP="00C01A5B">
      <w:pPr>
        <w:pStyle w:val="paragraph"/>
        <w:spacing w:before="0" w:beforeAutospacing="0" w:after="0" w:afterAutospacing="0"/>
        <w:jc w:val="center"/>
        <w:textAlignment w:val="baseline"/>
      </w:pPr>
      <w:r w:rsidRPr="00C7180A">
        <w:rPr>
          <w:rStyle w:val="eop"/>
          <w:rFonts w:eastAsiaTheme="majorEastAsia"/>
        </w:rPr>
        <w:t> </w:t>
      </w:r>
    </w:p>
    <w:p w14:paraId="0C3B6ED9" w14:textId="77777777" w:rsidR="00C01A5B" w:rsidRPr="00C7180A" w:rsidRDefault="00C01A5B" w:rsidP="00C01A5B">
      <w:pPr>
        <w:pStyle w:val="paragraph"/>
        <w:spacing w:before="0" w:beforeAutospacing="0" w:after="0" w:afterAutospacing="0"/>
        <w:jc w:val="center"/>
        <w:textAlignment w:val="baseline"/>
      </w:pPr>
      <w:r w:rsidRPr="00C7180A">
        <w:rPr>
          <w:rStyle w:val="normaltextrun"/>
          <w:rFonts w:eastAsiaTheme="majorEastAsia"/>
          <w:i/>
          <w:iCs/>
        </w:rPr>
        <w:t>Before the </w:t>
      </w:r>
      <w:r w:rsidRPr="00C7180A">
        <w:rPr>
          <w:rStyle w:val="eop"/>
          <w:rFonts w:eastAsiaTheme="majorEastAsia"/>
        </w:rPr>
        <w:t> </w:t>
      </w:r>
    </w:p>
    <w:p w14:paraId="5F182624" w14:textId="77777777" w:rsidR="00C01A5B" w:rsidRPr="00C7180A" w:rsidRDefault="00C01A5B" w:rsidP="00C01A5B">
      <w:pPr>
        <w:pStyle w:val="paragraph"/>
        <w:spacing w:before="0" w:beforeAutospacing="0" w:after="0" w:afterAutospacing="0"/>
        <w:jc w:val="center"/>
        <w:textAlignment w:val="baseline"/>
        <w:rPr>
          <w:rStyle w:val="eop"/>
          <w:rFonts w:eastAsiaTheme="majorEastAsia"/>
        </w:rPr>
      </w:pPr>
      <w:r w:rsidRPr="00C7180A">
        <w:rPr>
          <w:rStyle w:val="normaltextrun"/>
          <w:rFonts w:eastAsiaTheme="majorEastAsia"/>
          <w:b/>
          <w:bCs/>
        </w:rPr>
        <w:t>Education Committee</w:t>
      </w:r>
      <w:r w:rsidRPr="00C7180A">
        <w:rPr>
          <w:rStyle w:val="eop"/>
          <w:rFonts w:eastAsiaTheme="majorEastAsia"/>
        </w:rPr>
        <w:t> </w:t>
      </w:r>
    </w:p>
    <w:p w14:paraId="3C7C0C78" w14:textId="77777777" w:rsidR="00C01A5B" w:rsidRPr="00C7180A" w:rsidRDefault="00C01A5B" w:rsidP="00C01A5B">
      <w:pPr>
        <w:pStyle w:val="paragraph"/>
        <w:spacing w:before="0" w:beforeAutospacing="0" w:after="0" w:afterAutospacing="0"/>
        <w:jc w:val="center"/>
        <w:textAlignment w:val="baseline"/>
      </w:pPr>
      <w:r w:rsidRPr="00C7180A">
        <w:rPr>
          <w:rStyle w:val="eop"/>
          <w:rFonts w:eastAsiaTheme="majorEastAsia"/>
        </w:rPr>
        <w:t> </w:t>
      </w:r>
    </w:p>
    <w:p w14:paraId="7DF725D1" w14:textId="77777777" w:rsidR="00C01A5B" w:rsidRPr="00C7180A" w:rsidRDefault="00C01A5B" w:rsidP="00C01A5B">
      <w:pPr>
        <w:pStyle w:val="paragraph"/>
        <w:spacing w:before="0" w:beforeAutospacing="0" w:after="0" w:afterAutospacing="0"/>
        <w:jc w:val="center"/>
        <w:textAlignment w:val="baseline"/>
        <w:rPr>
          <w:rFonts w:eastAsiaTheme="minorEastAsia"/>
        </w:rPr>
      </w:pPr>
      <w:r w:rsidRPr="00C7180A">
        <w:rPr>
          <w:rStyle w:val="normaltextrun"/>
          <w:rFonts w:eastAsiaTheme="majorEastAsia"/>
        </w:rPr>
        <w:t>Re: </w:t>
      </w:r>
    </w:p>
    <w:p w14:paraId="3D00B1BA" w14:textId="77777777" w:rsidR="00C40D22" w:rsidRPr="00C40D22" w:rsidRDefault="00C40D22" w:rsidP="00C01A5B">
      <w:pPr>
        <w:pStyle w:val="paragraph"/>
        <w:spacing w:before="0" w:beforeAutospacing="0" w:after="0" w:afterAutospacing="0"/>
        <w:jc w:val="center"/>
        <w:textAlignment w:val="baseline"/>
        <w:rPr>
          <w:rFonts w:eastAsiaTheme="minorEastAsia"/>
        </w:rPr>
      </w:pPr>
      <w:r w:rsidRPr="00C40D22">
        <w:rPr>
          <w:rFonts w:eastAsiaTheme="minorEastAsia"/>
        </w:rPr>
        <w:t>SB 380 AN ACT CONCERNING SCHOOL DISCIPLINE</w:t>
      </w:r>
    </w:p>
    <w:p w14:paraId="60BCB319" w14:textId="77777777" w:rsidR="00C40D22" w:rsidRPr="00C40D22" w:rsidRDefault="00C40D22" w:rsidP="00C01A5B">
      <w:pPr>
        <w:pStyle w:val="paragraph"/>
        <w:spacing w:before="0" w:beforeAutospacing="0" w:after="0" w:afterAutospacing="0"/>
        <w:jc w:val="center"/>
        <w:textAlignment w:val="baseline"/>
        <w:rPr>
          <w:rFonts w:eastAsiaTheme="minorEastAsia"/>
        </w:rPr>
      </w:pPr>
    </w:p>
    <w:p w14:paraId="2ECD6819" w14:textId="77777777" w:rsidR="00C40D22" w:rsidRPr="00C40D22" w:rsidRDefault="00C40D22" w:rsidP="00C01A5B">
      <w:pPr>
        <w:pStyle w:val="paragraph"/>
        <w:spacing w:before="0" w:beforeAutospacing="0" w:after="0" w:afterAutospacing="0"/>
        <w:jc w:val="center"/>
        <w:textAlignment w:val="baseline"/>
        <w:rPr>
          <w:rFonts w:eastAsiaTheme="minorEastAsia"/>
        </w:rPr>
      </w:pPr>
      <w:r w:rsidRPr="00C40D22">
        <w:rPr>
          <w:rFonts w:eastAsiaTheme="minorEastAsia"/>
        </w:rPr>
        <w:t>SB 381 AN ACT CONCERNING THE TEACHING PROFESSION AND REVISIONS TO THE MANDATED REPORTER REQUIREMENTS</w:t>
      </w:r>
    </w:p>
    <w:p w14:paraId="6FFF97D3" w14:textId="1FBCF345" w:rsidR="00C40D22" w:rsidRPr="00C40D22" w:rsidRDefault="00C40D22" w:rsidP="00C01A5B">
      <w:pPr>
        <w:pStyle w:val="paragraph"/>
        <w:spacing w:before="0" w:beforeAutospacing="0" w:after="0" w:afterAutospacing="0"/>
        <w:jc w:val="center"/>
        <w:textAlignment w:val="baseline"/>
        <w:rPr>
          <w:rFonts w:eastAsiaTheme="minorEastAsia"/>
        </w:rPr>
      </w:pPr>
      <w:r w:rsidRPr="00C40D22">
        <w:rPr>
          <w:rFonts w:eastAsiaTheme="minorEastAsia"/>
        </w:rPr>
        <w:br/>
        <w:t xml:space="preserve"> </w:t>
      </w:r>
      <w:r w:rsidR="00C968EA" w:rsidRPr="00C40D22">
        <w:rPr>
          <w:rFonts w:eastAsiaTheme="minorEastAsia"/>
        </w:rPr>
        <w:t>H</w:t>
      </w:r>
      <w:r w:rsidR="00C01A5B" w:rsidRPr="00C40D22">
        <w:rPr>
          <w:rFonts w:eastAsiaTheme="minorEastAsia"/>
        </w:rPr>
        <w:t xml:space="preserve">B </w:t>
      </w:r>
      <w:r w:rsidR="00215E56" w:rsidRPr="00C40D22">
        <w:rPr>
          <w:rFonts w:eastAsiaTheme="minorEastAsia"/>
        </w:rPr>
        <w:t>5</w:t>
      </w:r>
      <w:r w:rsidR="00C968EA" w:rsidRPr="00C40D22">
        <w:rPr>
          <w:rFonts w:eastAsiaTheme="minorEastAsia"/>
        </w:rPr>
        <w:t>43</w:t>
      </w:r>
      <w:r w:rsidRPr="00C40D22">
        <w:rPr>
          <w:rFonts w:eastAsiaTheme="minorEastAsia"/>
        </w:rPr>
        <w:t>5</w:t>
      </w:r>
      <w:r w:rsidR="00C01A5B" w:rsidRPr="00C40D22">
        <w:rPr>
          <w:rFonts w:eastAsiaTheme="minorEastAsia"/>
        </w:rPr>
        <w:t xml:space="preserve"> </w:t>
      </w:r>
      <w:r w:rsidRPr="00C40D22">
        <w:rPr>
          <w:rFonts w:eastAsiaTheme="minorEastAsia"/>
        </w:rPr>
        <w:t>AN ACT CONCERNING THE DEVELOPMENT OF A PLAN FOR THE CONVERSION OF THE STATE BOARD OF EDUCATION TO AN ADVISORY BOARD WITHIN THE DEPARTMENT OF EDUCATION</w:t>
      </w:r>
    </w:p>
    <w:p w14:paraId="03744D0F" w14:textId="77777777" w:rsidR="00C40D22" w:rsidRPr="00C40D22" w:rsidRDefault="00C40D22" w:rsidP="00C01A5B">
      <w:pPr>
        <w:pStyle w:val="paragraph"/>
        <w:spacing w:before="0" w:beforeAutospacing="0" w:after="0" w:afterAutospacing="0"/>
        <w:jc w:val="center"/>
        <w:textAlignment w:val="baseline"/>
        <w:rPr>
          <w:rFonts w:eastAsiaTheme="minorEastAsia"/>
        </w:rPr>
      </w:pPr>
    </w:p>
    <w:p w14:paraId="36BB0B98" w14:textId="77777777" w:rsidR="00C40D22" w:rsidRPr="00C40D22" w:rsidRDefault="00C40D22" w:rsidP="00C01A5B">
      <w:pPr>
        <w:pStyle w:val="paragraph"/>
        <w:spacing w:before="0" w:beforeAutospacing="0" w:after="0" w:afterAutospacing="0"/>
        <w:jc w:val="center"/>
        <w:textAlignment w:val="baseline"/>
        <w:rPr>
          <w:rFonts w:eastAsiaTheme="minorEastAsia"/>
        </w:rPr>
      </w:pPr>
      <w:r w:rsidRPr="00C40D22">
        <w:rPr>
          <w:rFonts w:eastAsiaTheme="minorEastAsia"/>
        </w:rPr>
        <w:t>HB 5436 AN ACT CONCERNING EDUCATOR CERTIFICATION</w:t>
      </w:r>
    </w:p>
    <w:p w14:paraId="5DEB3B35" w14:textId="77777777" w:rsidR="00C01A5B" w:rsidRPr="005E411D" w:rsidRDefault="00C01A5B" w:rsidP="00C01A5B">
      <w:pPr>
        <w:pStyle w:val="paragraph"/>
        <w:spacing w:before="0" w:beforeAutospacing="0" w:after="0" w:afterAutospacing="0"/>
        <w:jc w:val="center"/>
        <w:textAlignment w:val="baseline"/>
        <w:rPr>
          <w:sz w:val="26"/>
          <w:szCs w:val="26"/>
        </w:rPr>
      </w:pPr>
      <w:r w:rsidRPr="005E411D">
        <w:rPr>
          <w:rStyle w:val="eop"/>
          <w:rFonts w:eastAsiaTheme="majorEastAsia"/>
          <w:sz w:val="26"/>
          <w:szCs w:val="26"/>
        </w:rPr>
        <w:t> </w:t>
      </w:r>
    </w:p>
    <w:p w14:paraId="244B5704" w14:textId="778CE85A" w:rsidR="00C01A5B" w:rsidRPr="00215E56" w:rsidRDefault="00C01A5B" w:rsidP="00C01A5B">
      <w:pPr>
        <w:jc w:val="center"/>
        <w:rPr>
          <w:rFonts w:ascii="Times New Roman" w:hAnsi="Times New Roman" w:cs="Times New Roman"/>
        </w:rPr>
      </w:pPr>
      <w:r w:rsidRPr="00215E56">
        <w:rPr>
          <w:rFonts w:ascii="Times New Roman" w:hAnsi="Times New Roman" w:cs="Times New Roman"/>
        </w:rPr>
        <w:t xml:space="preserve">March </w:t>
      </w:r>
      <w:r w:rsidR="00C7180A" w:rsidRPr="00215E56">
        <w:rPr>
          <w:rFonts w:ascii="Times New Roman" w:hAnsi="Times New Roman" w:cs="Times New Roman"/>
        </w:rPr>
        <w:t>1</w:t>
      </w:r>
      <w:r w:rsidR="00C968EA">
        <w:rPr>
          <w:rFonts w:ascii="Times New Roman" w:hAnsi="Times New Roman" w:cs="Times New Roman"/>
        </w:rPr>
        <w:t>3</w:t>
      </w:r>
      <w:r w:rsidRPr="00215E56">
        <w:rPr>
          <w:rFonts w:ascii="Times New Roman" w:hAnsi="Times New Roman" w:cs="Times New Roman"/>
        </w:rPr>
        <w:t>, 2024</w:t>
      </w:r>
    </w:p>
    <w:p w14:paraId="79560A78" w14:textId="77777777" w:rsidR="00C01A5B" w:rsidRPr="00215E56" w:rsidRDefault="00C01A5B" w:rsidP="00C01A5B">
      <w:pPr>
        <w:rPr>
          <w:rFonts w:ascii="Times New Roman" w:hAnsi="Times New Roman" w:cs="Times New Roman"/>
        </w:rPr>
      </w:pPr>
    </w:p>
    <w:p w14:paraId="070579FA" w14:textId="5C16A1E8" w:rsidR="00C968EA" w:rsidRPr="005A75AF" w:rsidRDefault="00C968EA" w:rsidP="00C40D22">
      <w:pPr>
        <w:pStyle w:val="paragraph"/>
        <w:spacing w:before="0" w:beforeAutospacing="0" w:after="0" w:afterAutospacing="0"/>
        <w:textAlignment w:val="baseline"/>
      </w:pPr>
      <w:r w:rsidRPr="005A75AF">
        <w:t xml:space="preserve">Co-Chair Senator McCrory, Co-Chair Representative Currey, Ranking Member Senator Berthel, Ranking Member Representative McCarty, and distinguished members of the Education Committee, my name is Kate </w:t>
      </w:r>
      <w:r w:rsidR="00C40D22" w:rsidRPr="005A75AF">
        <w:t>Dias</w:t>
      </w:r>
      <w:r w:rsidRPr="005A75AF">
        <w:t xml:space="preserve">, and I am the </w:t>
      </w:r>
      <w:r w:rsidR="00C40D22" w:rsidRPr="005A75AF">
        <w:t>President of</w:t>
      </w:r>
      <w:r w:rsidRPr="005A75AF">
        <w:t xml:space="preserve"> Connecticut Education Association (CEA)</w:t>
      </w:r>
      <w:r w:rsidR="00C40D22" w:rsidRPr="005A75AF">
        <w:t xml:space="preserve">. </w:t>
      </w:r>
      <w:r w:rsidR="00C40D22" w:rsidRPr="005A75AF">
        <w:rPr>
          <w:rStyle w:val="normaltextrun"/>
          <w:rFonts w:eastAsiaTheme="majorEastAsia"/>
        </w:rPr>
        <w:t>CEA represents more than 40,000 active and retired teachers from over 150 school districts across the state.</w:t>
      </w:r>
      <w:r w:rsidR="00C40D22" w:rsidRPr="005A75AF">
        <w:rPr>
          <w:rStyle w:val="eop"/>
          <w:rFonts w:eastAsiaTheme="majorEastAsia"/>
        </w:rPr>
        <w:t> </w:t>
      </w:r>
    </w:p>
    <w:p w14:paraId="257E1BAD" w14:textId="77777777" w:rsidR="00C968EA" w:rsidRPr="005A75AF" w:rsidRDefault="00C968EA" w:rsidP="00C968EA">
      <w:pPr>
        <w:rPr>
          <w:rFonts w:ascii="Times New Roman" w:hAnsi="Times New Roman" w:cs="Times New Roman"/>
        </w:rPr>
      </w:pPr>
    </w:p>
    <w:p w14:paraId="199672BA" w14:textId="503CA656" w:rsidR="005A75AF" w:rsidRPr="005A75AF" w:rsidRDefault="005A75AF" w:rsidP="005A75AF">
      <w:pPr>
        <w:rPr>
          <w:rStyle w:val="eop"/>
          <w:rFonts w:ascii="Times New Roman" w:hAnsi="Times New Roman" w:cs="Times New Roman"/>
          <w:b/>
          <w:bCs/>
        </w:rPr>
      </w:pPr>
      <w:r w:rsidRPr="005A75AF">
        <w:rPr>
          <w:rFonts w:ascii="Times New Roman" w:hAnsi="Times New Roman" w:cs="Times New Roman"/>
          <w:b/>
          <w:bCs/>
        </w:rPr>
        <w:t xml:space="preserve">SB 380 </w:t>
      </w:r>
      <w:r w:rsidRPr="005A75AF">
        <w:rPr>
          <w:rStyle w:val="normaltextrun"/>
          <w:rFonts w:ascii="Times New Roman" w:hAnsi="Times New Roman" w:cs="Times New Roman"/>
          <w:b/>
          <w:bCs/>
        </w:rPr>
        <w:t>An Act Concerning School Discipline</w:t>
      </w:r>
      <w:r w:rsidRPr="005A75AF">
        <w:rPr>
          <w:rStyle w:val="eop"/>
          <w:rFonts w:ascii="Times New Roman" w:hAnsi="Times New Roman" w:cs="Times New Roman"/>
          <w:b/>
          <w:bCs/>
        </w:rPr>
        <w:t> </w:t>
      </w:r>
    </w:p>
    <w:p w14:paraId="434B57F1" w14:textId="77777777" w:rsidR="005A75AF" w:rsidRPr="005A75AF" w:rsidRDefault="005A75AF" w:rsidP="005A75AF">
      <w:pPr>
        <w:rPr>
          <w:rStyle w:val="eop"/>
          <w:rFonts w:ascii="Times New Roman" w:hAnsi="Times New Roman" w:cs="Times New Roman"/>
          <w:b/>
          <w:bCs/>
        </w:rPr>
      </w:pPr>
    </w:p>
    <w:p w14:paraId="3BBC0E5B" w14:textId="20E7FA5A" w:rsidR="005A75AF" w:rsidRPr="005A75AF" w:rsidRDefault="005A75AF" w:rsidP="005A75AF">
      <w:pPr>
        <w:rPr>
          <w:rStyle w:val="eop"/>
          <w:rFonts w:ascii="Times New Roman" w:hAnsi="Times New Roman" w:cs="Times New Roman"/>
        </w:rPr>
      </w:pPr>
      <w:r w:rsidRPr="005A75AF">
        <w:rPr>
          <w:rStyle w:val="eop"/>
          <w:rFonts w:ascii="Times New Roman" w:hAnsi="Times New Roman" w:cs="Times New Roman"/>
        </w:rPr>
        <w:t xml:space="preserve">CEA supports </w:t>
      </w:r>
      <w:r w:rsidRPr="005A75AF">
        <w:rPr>
          <w:rStyle w:val="eop"/>
          <w:rFonts w:ascii="Times New Roman" w:hAnsi="Times New Roman" w:cs="Times New Roman"/>
          <w:b/>
          <w:bCs/>
        </w:rPr>
        <w:t>Section 1</w:t>
      </w:r>
      <w:r w:rsidRPr="005A75AF">
        <w:rPr>
          <w:rStyle w:val="eop"/>
          <w:rFonts w:ascii="Times New Roman" w:hAnsi="Times New Roman" w:cs="Times New Roman"/>
        </w:rPr>
        <w:t xml:space="preserve"> clarifying out</w:t>
      </w:r>
      <w:r w:rsidR="00AE49E0">
        <w:rPr>
          <w:rStyle w:val="eop"/>
          <w:rFonts w:ascii="Times New Roman" w:hAnsi="Times New Roman" w:cs="Times New Roman"/>
        </w:rPr>
        <w:t>-</w:t>
      </w:r>
      <w:r w:rsidRPr="005A75AF">
        <w:rPr>
          <w:rStyle w:val="eop"/>
          <w:rFonts w:ascii="Times New Roman" w:hAnsi="Times New Roman" w:cs="Times New Roman"/>
        </w:rPr>
        <w:t>of</w:t>
      </w:r>
      <w:r w:rsidR="00AE49E0">
        <w:rPr>
          <w:rStyle w:val="eop"/>
          <w:rFonts w:ascii="Times New Roman" w:hAnsi="Times New Roman" w:cs="Times New Roman"/>
        </w:rPr>
        <w:t>-</w:t>
      </w:r>
      <w:r w:rsidRPr="005A75AF">
        <w:rPr>
          <w:rStyle w:val="eop"/>
          <w:rFonts w:ascii="Times New Roman" w:hAnsi="Times New Roman" w:cs="Times New Roman"/>
        </w:rPr>
        <w:t xml:space="preserve">school suspension </w:t>
      </w:r>
      <w:r w:rsidR="00AE49E0">
        <w:rPr>
          <w:rStyle w:val="eop"/>
          <w:rFonts w:ascii="Times New Roman" w:hAnsi="Times New Roman" w:cs="Times New Roman"/>
        </w:rPr>
        <w:t xml:space="preserve">limits </w:t>
      </w:r>
      <w:r w:rsidRPr="005A75AF">
        <w:rPr>
          <w:rStyle w:val="eop"/>
          <w:rFonts w:ascii="Times New Roman" w:hAnsi="Times New Roman" w:cs="Times New Roman"/>
        </w:rPr>
        <w:t xml:space="preserve">to better ensure the safety of all students.  </w:t>
      </w:r>
    </w:p>
    <w:p w14:paraId="753E8BB1" w14:textId="77777777" w:rsidR="005A75AF" w:rsidRPr="005A75AF" w:rsidRDefault="005A75AF" w:rsidP="005A75AF">
      <w:pPr>
        <w:rPr>
          <w:rStyle w:val="eop"/>
          <w:rFonts w:ascii="Times New Roman" w:hAnsi="Times New Roman" w:cs="Times New Roman"/>
        </w:rPr>
      </w:pPr>
    </w:p>
    <w:p w14:paraId="387F8928" w14:textId="36A6BD77" w:rsidR="005A75AF" w:rsidRPr="005A75AF" w:rsidRDefault="005A75AF" w:rsidP="005A75AF">
      <w:pPr>
        <w:rPr>
          <w:rStyle w:val="eop"/>
          <w:rFonts w:ascii="Times New Roman" w:hAnsi="Times New Roman" w:cs="Times New Roman"/>
        </w:rPr>
      </w:pPr>
      <w:r w:rsidRPr="005A75AF">
        <w:rPr>
          <w:rStyle w:val="eop"/>
          <w:rFonts w:ascii="Times New Roman" w:hAnsi="Times New Roman" w:cs="Times New Roman"/>
        </w:rPr>
        <w:lastRenderedPageBreak/>
        <w:t xml:space="preserve">CEA reserves judgement on </w:t>
      </w:r>
      <w:r w:rsidRPr="005A75AF">
        <w:rPr>
          <w:rStyle w:val="eop"/>
          <w:rFonts w:ascii="Times New Roman" w:hAnsi="Times New Roman" w:cs="Times New Roman"/>
          <w:b/>
          <w:bCs/>
        </w:rPr>
        <w:t>Section 2</w:t>
      </w:r>
      <w:r w:rsidRPr="005A75AF">
        <w:rPr>
          <w:rStyle w:val="eop"/>
          <w:rFonts w:ascii="Times New Roman" w:hAnsi="Times New Roman" w:cs="Times New Roman"/>
        </w:rPr>
        <w:t xml:space="preserve">, which addresses reports of students adjudicated for possession of a firearm.  Current law does not ensure that the classroom teacher is informed </w:t>
      </w:r>
      <w:proofErr w:type="spellStart"/>
      <w:proofErr w:type="gramStart"/>
      <w:r w:rsidR="00AE49E0">
        <w:rPr>
          <w:rStyle w:val="eop"/>
          <w:rFonts w:ascii="Times New Roman" w:hAnsi="Times New Roman" w:cs="Times New Roman"/>
        </w:rPr>
        <w:t>whena</w:t>
      </w:r>
      <w:proofErr w:type="spellEnd"/>
      <w:proofErr w:type="gramEnd"/>
      <w:r w:rsidRPr="005A75AF">
        <w:rPr>
          <w:rStyle w:val="eop"/>
          <w:rFonts w:ascii="Times New Roman" w:hAnsi="Times New Roman" w:cs="Times New Roman"/>
        </w:rPr>
        <w:t xml:space="preserve"> student in their classroom is known to have been adjudicated for carrying a firearm.  CEA believes that</w:t>
      </w:r>
      <w:r w:rsidR="00AE49E0">
        <w:rPr>
          <w:rStyle w:val="eop"/>
          <w:rFonts w:ascii="Times New Roman" w:hAnsi="Times New Roman" w:cs="Times New Roman"/>
        </w:rPr>
        <w:t xml:space="preserve"> a student’s classroom teacher should be</w:t>
      </w:r>
      <w:r w:rsidRPr="005A75AF">
        <w:rPr>
          <w:rStyle w:val="eop"/>
          <w:rFonts w:ascii="Times New Roman" w:hAnsi="Times New Roman" w:cs="Times New Roman"/>
        </w:rPr>
        <w:t xml:space="preserve"> among the limited school staff who are made aware of such behavior</w:t>
      </w:r>
      <w:r w:rsidR="00AE49E0">
        <w:rPr>
          <w:rStyle w:val="eop"/>
          <w:rFonts w:ascii="Times New Roman" w:hAnsi="Times New Roman" w:cs="Times New Roman"/>
        </w:rPr>
        <w:t>.</w:t>
      </w:r>
      <w:r w:rsidRPr="005A75AF">
        <w:rPr>
          <w:rStyle w:val="eop"/>
          <w:rFonts w:ascii="Times New Roman" w:hAnsi="Times New Roman" w:cs="Times New Roman"/>
        </w:rPr>
        <w:t xml:space="preserve"> This would enable the teacher to be aware of warning signs and the potential need for additional instructional and trauma-informed support for the child.  As written, the bill does not extend notice to a classroom teacher.  </w:t>
      </w:r>
    </w:p>
    <w:p w14:paraId="6F1AE289" w14:textId="77777777" w:rsidR="005A75AF" w:rsidRPr="005A75AF" w:rsidRDefault="005A75AF" w:rsidP="005A75AF">
      <w:pPr>
        <w:rPr>
          <w:rStyle w:val="eop"/>
          <w:rFonts w:ascii="Times New Roman" w:hAnsi="Times New Roman" w:cs="Times New Roman"/>
        </w:rPr>
      </w:pPr>
    </w:p>
    <w:p w14:paraId="0FBDA40B" w14:textId="35BF3F7E" w:rsidR="005A75AF" w:rsidRPr="005A75AF" w:rsidRDefault="005A75AF" w:rsidP="005A75AF">
      <w:pPr>
        <w:rPr>
          <w:rStyle w:val="eop"/>
          <w:rFonts w:ascii="Times New Roman" w:hAnsi="Times New Roman" w:cs="Times New Roman"/>
        </w:rPr>
      </w:pPr>
      <w:r w:rsidRPr="005A75AF">
        <w:rPr>
          <w:rStyle w:val="eop"/>
          <w:rFonts w:ascii="Times New Roman" w:hAnsi="Times New Roman" w:cs="Times New Roman"/>
        </w:rPr>
        <w:t xml:space="preserve">CEA supports </w:t>
      </w:r>
      <w:r w:rsidRPr="005A75AF">
        <w:rPr>
          <w:rStyle w:val="eop"/>
          <w:rFonts w:ascii="Times New Roman" w:hAnsi="Times New Roman" w:cs="Times New Roman"/>
          <w:b/>
          <w:bCs/>
        </w:rPr>
        <w:t>Section 4</w:t>
      </w:r>
      <w:r w:rsidRPr="005A75AF">
        <w:rPr>
          <w:rStyle w:val="eop"/>
          <w:rFonts w:ascii="Times New Roman" w:hAnsi="Times New Roman" w:cs="Times New Roman"/>
        </w:rPr>
        <w:t xml:space="preserve"> charging the SEL Collaborative with developing school climate survey standards and </w:t>
      </w:r>
      <w:r w:rsidRPr="005A75AF">
        <w:rPr>
          <w:rStyle w:val="eop"/>
          <w:rFonts w:ascii="Times New Roman" w:hAnsi="Times New Roman" w:cs="Times New Roman"/>
          <w:b/>
          <w:bCs/>
        </w:rPr>
        <w:t>Section 8</w:t>
      </w:r>
      <w:r w:rsidRPr="005A75AF">
        <w:rPr>
          <w:rStyle w:val="eop"/>
          <w:rFonts w:ascii="Times New Roman" w:hAnsi="Times New Roman" w:cs="Times New Roman"/>
        </w:rPr>
        <w:t xml:space="preserve"> disaggregating bullying data by protected class.  </w:t>
      </w:r>
    </w:p>
    <w:p w14:paraId="22658A62" w14:textId="77777777" w:rsidR="005A75AF" w:rsidRPr="005A75AF" w:rsidRDefault="005A75AF" w:rsidP="005A75AF">
      <w:pPr>
        <w:rPr>
          <w:rStyle w:val="eop"/>
          <w:rFonts w:ascii="Times New Roman" w:hAnsi="Times New Roman" w:cs="Times New Roman"/>
        </w:rPr>
      </w:pPr>
    </w:p>
    <w:p w14:paraId="794AEBAC" w14:textId="124C50DF" w:rsidR="005A75AF" w:rsidRPr="005A75AF" w:rsidRDefault="005A75AF" w:rsidP="005A75AF">
      <w:pPr>
        <w:rPr>
          <w:rStyle w:val="eop"/>
          <w:rFonts w:ascii="Times New Roman" w:hAnsi="Times New Roman" w:cs="Times New Roman"/>
        </w:rPr>
      </w:pPr>
      <w:r w:rsidRPr="005A75AF">
        <w:rPr>
          <w:rStyle w:val="eop"/>
          <w:rFonts w:ascii="Times New Roman" w:hAnsi="Times New Roman" w:cs="Times New Roman"/>
          <w:b/>
          <w:bCs/>
        </w:rPr>
        <w:t>Section 9</w:t>
      </w:r>
      <w:r w:rsidRPr="005A75AF">
        <w:rPr>
          <w:rStyle w:val="eop"/>
          <w:rFonts w:ascii="Times New Roman" w:hAnsi="Times New Roman" w:cs="Times New Roman"/>
        </w:rPr>
        <w:t xml:space="preserve"> establishes a position within the state department of education to oversee school climate.  We support this addition and underscore </w:t>
      </w:r>
      <w:r w:rsidR="00AE49E0">
        <w:rPr>
          <w:rStyle w:val="eop"/>
          <w:rFonts w:ascii="Times New Roman" w:hAnsi="Times New Roman" w:cs="Times New Roman"/>
        </w:rPr>
        <w:t>how important it is that</w:t>
      </w:r>
      <w:r w:rsidRPr="005A75AF">
        <w:rPr>
          <w:rStyle w:val="eop"/>
          <w:rFonts w:ascii="Times New Roman" w:hAnsi="Times New Roman" w:cs="Times New Roman"/>
        </w:rPr>
        <w:t xml:space="preserve"> each of our schools foster a welcoming, culturally competent, and collaborative climate and culture.  Positive learning and working conditions will help educators connect with students at a time when more students are becoming disengaged and the negative longer-term social and emotional effects of the pandemic persist.</w:t>
      </w:r>
    </w:p>
    <w:p w14:paraId="4A400FBB" w14:textId="77777777" w:rsidR="005A75AF" w:rsidRPr="005A75AF" w:rsidRDefault="005A75AF" w:rsidP="005A75AF">
      <w:pPr>
        <w:rPr>
          <w:rStyle w:val="eop"/>
          <w:rFonts w:ascii="Times New Roman" w:hAnsi="Times New Roman" w:cs="Times New Roman"/>
        </w:rPr>
      </w:pPr>
    </w:p>
    <w:p w14:paraId="55C3A1D6" w14:textId="14C74173" w:rsidR="005A75AF" w:rsidRPr="005A75AF" w:rsidRDefault="005A75AF" w:rsidP="005A75AF">
      <w:pPr>
        <w:pStyle w:val="paragraph"/>
        <w:rPr>
          <w:b/>
          <w:bCs/>
        </w:rPr>
      </w:pPr>
      <w:r w:rsidRPr="005A75AF">
        <w:rPr>
          <w:rStyle w:val="eop"/>
          <w:b/>
          <w:bCs/>
        </w:rPr>
        <w:t xml:space="preserve">SB 381 </w:t>
      </w:r>
      <w:r w:rsidRPr="005A75AF">
        <w:rPr>
          <w:rStyle w:val="normaltextrun"/>
          <w:b/>
          <w:bCs/>
        </w:rPr>
        <w:t xml:space="preserve">AAC </w:t>
      </w:r>
      <w:r w:rsidR="00002C82">
        <w:rPr>
          <w:rStyle w:val="normaltextrun"/>
          <w:b/>
          <w:bCs/>
        </w:rPr>
        <w:t>t</w:t>
      </w:r>
      <w:r w:rsidRPr="005A75AF">
        <w:rPr>
          <w:rStyle w:val="normaltextrun"/>
          <w:b/>
          <w:bCs/>
        </w:rPr>
        <w:t>he Teaching Profession and Revisions to the Mandated Reporter Requirements</w:t>
      </w:r>
      <w:r w:rsidRPr="005A75AF">
        <w:rPr>
          <w:rStyle w:val="eop"/>
          <w:b/>
          <w:bCs/>
        </w:rPr>
        <w:t> </w:t>
      </w:r>
    </w:p>
    <w:p w14:paraId="4D248068" w14:textId="17991CA2" w:rsidR="005A75AF" w:rsidRPr="005A75AF" w:rsidRDefault="005A75AF" w:rsidP="005A75AF">
      <w:pPr>
        <w:rPr>
          <w:rFonts w:ascii="Times New Roman" w:hAnsi="Times New Roman" w:cs="Times New Roman"/>
        </w:rPr>
      </w:pPr>
      <w:r w:rsidRPr="005A75AF">
        <w:rPr>
          <w:rFonts w:ascii="Times New Roman" w:hAnsi="Times New Roman" w:cs="Times New Roman"/>
        </w:rPr>
        <w:t>CEA testifies in support</w:t>
      </w:r>
      <w:r w:rsidR="00AE49E0">
        <w:rPr>
          <w:rFonts w:ascii="Times New Roman" w:hAnsi="Times New Roman" w:cs="Times New Roman"/>
        </w:rPr>
        <w:t xml:space="preserve"> of</w:t>
      </w:r>
      <w:r w:rsidRPr="005A75AF">
        <w:rPr>
          <w:rFonts w:ascii="Times New Roman" w:hAnsi="Times New Roman" w:cs="Times New Roman"/>
        </w:rPr>
        <w:t xml:space="preserve"> SB 381 and addresses individual sections in various pieces of testimony.  My comments will focus on sections 1-4</w:t>
      </w:r>
      <w:r w:rsidR="00AE49E0">
        <w:rPr>
          <w:rFonts w:ascii="Times New Roman" w:hAnsi="Times New Roman" w:cs="Times New Roman"/>
        </w:rPr>
        <w:t>,</w:t>
      </w:r>
      <w:r w:rsidRPr="005A75AF">
        <w:rPr>
          <w:rFonts w:ascii="Times New Roman" w:hAnsi="Times New Roman" w:cs="Times New Roman"/>
        </w:rPr>
        <w:t xml:space="preserve"> addressing a minimum starting teacher salary and the COVID recognition payment to teachers who taught through the pandemic.  </w:t>
      </w:r>
    </w:p>
    <w:p w14:paraId="3C016782" w14:textId="77777777" w:rsidR="005A75AF" w:rsidRPr="005A75AF" w:rsidRDefault="005A75AF" w:rsidP="005A75AF">
      <w:pPr>
        <w:rPr>
          <w:rFonts w:ascii="Times New Roman" w:hAnsi="Times New Roman" w:cs="Times New Roman"/>
        </w:rPr>
      </w:pPr>
    </w:p>
    <w:p w14:paraId="0C5F04AE" w14:textId="49D50F57" w:rsidR="005A75AF" w:rsidRPr="005A75AF" w:rsidRDefault="005A75AF" w:rsidP="005A75AF">
      <w:pPr>
        <w:rPr>
          <w:rFonts w:ascii="Times New Roman" w:hAnsi="Times New Roman" w:cs="Times New Roman"/>
        </w:rPr>
      </w:pPr>
      <w:r w:rsidRPr="005A75AF">
        <w:rPr>
          <w:rFonts w:ascii="Times New Roman" w:hAnsi="Times New Roman" w:cs="Times New Roman"/>
        </w:rPr>
        <w:t xml:space="preserve">Additionally, testimony by CEA Vice President Joslyn </w:t>
      </w:r>
      <w:proofErr w:type="spellStart"/>
      <w:r w:rsidRPr="005A75AF">
        <w:rPr>
          <w:rFonts w:ascii="Times New Roman" w:hAnsi="Times New Roman" w:cs="Times New Roman"/>
        </w:rPr>
        <w:t>DeLancey</w:t>
      </w:r>
      <w:proofErr w:type="spellEnd"/>
      <w:r w:rsidRPr="005A75AF">
        <w:rPr>
          <w:rFonts w:ascii="Times New Roman" w:hAnsi="Times New Roman" w:cs="Times New Roman"/>
        </w:rPr>
        <w:t xml:space="preserve"> and CEA-Retired President, Bill Murray provides detail</w:t>
      </w:r>
      <w:r w:rsidR="00AE49E0">
        <w:rPr>
          <w:rFonts w:ascii="Times New Roman" w:hAnsi="Times New Roman" w:cs="Times New Roman"/>
        </w:rPr>
        <w:t>ed</w:t>
      </w:r>
      <w:r w:rsidRPr="005A75AF">
        <w:rPr>
          <w:rFonts w:ascii="Times New Roman" w:hAnsi="Times New Roman" w:cs="Times New Roman"/>
        </w:rPr>
        <w:t xml:space="preserve"> support </w:t>
      </w:r>
      <w:r w:rsidR="00AE49E0">
        <w:rPr>
          <w:rFonts w:ascii="Times New Roman" w:hAnsi="Times New Roman" w:cs="Times New Roman"/>
        </w:rPr>
        <w:t>for</w:t>
      </w:r>
      <w:r w:rsidRPr="005A75AF">
        <w:rPr>
          <w:rFonts w:ascii="Times New Roman" w:hAnsi="Times New Roman" w:cs="Times New Roman"/>
        </w:rPr>
        <w:t xml:space="preserve"> correcting the election of members of the Teachers Retirement Board.  Adrienne DeLucca and CEA’s legal team have submitted detailed testimony in support of improvements to laws affecting mandated reporters in sections 11-19 and the arbitration of disciplinary matters in section 7.  CEA’s </w:t>
      </w:r>
      <w:proofErr w:type="spellStart"/>
      <w:r w:rsidRPr="005A75AF">
        <w:rPr>
          <w:rFonts w:ascii="Times New Roman" w:hAnsi="Times New Roman" w:cs="Times New Roman"/>
        </w:rPr>
        <w:t>UniServ</w:t>
      </w:r>
      <w:proofErr w:type="spellEnd"/>
      <w:r w:rsidRPr="005A75AF">
        <w:rPr>
          <w:rFonts w:ascii="Times New Roman" w:hAnsi="Times New Roman" w:cs="Times New Roman"/>
        </w:rPr>
        <w:t xml:space="preserve"> Representatives Brett Pickerign and Ed Thibode</w:t>
      </w:r>
      <w:r w:rsidR="00FB0C36">
        <w:rPr>
          <w:rFonts w:ascii="Times New Roman" w:hAnsi="Times New Roman" w:cs="Times New Roman"/>
        </w:rPr>
        <w:t>a</w:t>
      </w:r>
      <w:r w:rsidRPr="005A75AF">
        <w:rPr>
          <w:rFonts w:ascii="Times New Roman" w:hAnsi="Times New Roman" w:cs="Times New Roman"/>
        </w:rPr>
        <w:t xml:space="preserve">u provide detailed testimony supporting section 8, which improves the selection of neutral arbitrators in the Teachers Negotiation Act.  </w:t>
      </w:r>
    </w:p>
    <w:p w14:paraId="1D77A9D4" w14:textId="77777777" w:rsidR="00FB0C36" w:rsidRDefault="00FB0C36" w:rsidP="005A75AF">
      <w:pPr>
        <w:rPr>
          <w:rFonts w:ascii="Times New Roman" w:hAnsi="Times New Roman" w:cs="Times New Roman"/>
          <w:b/>
          <w:bCs/>
        </w:rPr>
      </w:pPr>
    </w:p>
    <w:p w14:paraId="34433418" w14:textId="54CED2BE" w:rsidR="005A75AF" w:rsidRPr="005A75AF" w:rsidRDefault="005A75AF" w:rsidP="005A75AF">
      <w:pPr>
        <w:rPr>
          <w:rFonts w:ascii="Times New Roman" w:hAnsi="Times New Roman" w:cs="Times New Roman"/>
        </w:rPr>
      </w:pPr>
      <w:r w:rsidRPr="005A75AF">
        <w:rPr>
          <w:rFonts w:ascii="Times New Roman" w:hAnsi="Times New Roman" w:cs="Times New Roman"/>
          <w:b/>
          <w:bCs/>
        </w:rPr>
        <w:t xml:space="preserve">Sections 1-2 </w:t>
      </w:r>
      <w:r w:rsidRPr="005A75AF">
        <w:rPr>
          <w:rFonts w:ascii="Times New Roman" w:hAnsi="Times New Roman" w:cs="Times New Roman"/>
        </w:rPr>
        <w:t xml:space="preserve">– C EA Supports the establishment of a minimum certified teacher salary of $60,000 and the provision of state funds to boards of education to meet that goal. </w:t>
      </w:r>
    </w:p>
    <w:p w14:paraId="18976EBD" w14:textId="77777777" w:rsidR="005A75AF" w:rsidRPr="005A75AF" w:rsidRDefault="005A75AF" w:rsidP="005A75AF">
      <w:pPr>
        <w:rPr>
          <w:rFonts w:ascii="Times New Roman" w:hAnsi="Times New Roman" w:cs="Times New Roman"/>
        </w:rPr>
      </w:pPr>
    </w:p>
    <w:p w14:paraId="520D2AAF" w14:textId="7AD67A4E" w:rsidR="005A75AF" w:rsidRPr="005A75AF" w:rsidRDefault="005A75AF" w:rsidP="005A75AF">
      <w:pPr>
        <w:rPr>
          <w:rFonts w:ascii="Times New Roman" w:hAnsi="Times New Roman" w:cs="Times New Roman"/>
        </w:rPr>
      </w:pPr>
      <w:r w:rsidRPr="005A75AF">
        <w:rPr>
          <w:rFonts w:ascii="Times New Roman" w:hAnsi="Times New Roman" w:cs="Times New Roman"/>
        </w:rPr>
        <w:t xml:space="preserve">Connecticut, like many other states throughout the country, faces a teacher shortage crisis as fewer young adults enter teacher preparation programs and worsening teaching </w:t>
      </w:r>
      <w:proofErr w:type="gramStart"/>
      <w:r w:rsidRPr="005A75AF">
        <w:rPr>
          <w:rFonts w:ascii="Times New Roman" w:hAnsi="Times New Roman" w:cs="Times New Roman"/>
        </w:rPr>
        <w:t>conditions</w:t>
      </w:r>
      <w:proofErr w:type="gramEnd"/>
      <w:r w:rsidRPr="005A75AF">
        <w:rPr>
          <w:rFonts w:ascii="Times New Roman" w:hAnsi="Times New Roman" w:cs="Times New Roman"/>
        </w:rPr>
        <w:t xml:space="preserve"> and lack of incentives push current teachers to leave for other fields or retire. </w:t>
      </w:r>
      <w:r w:rsidR="00FB0C36">
        <w:rPr>
          <w:rFonts w:ascii="Times New Roman" w:hAnsi="Times New Roman" w:cs="Times New Roman"/>
        </w:rPr>
        <w:t xml:space="preserve"> </w:t>
      </w:r>
      <w:r w:rsidRPr="005A75AF">
        <w:rPr>
          <w:rFonts w:ascii="Times New Roman" w:hAnsi="Times New Roman" w:cs="Times New Roman"/>
        </w:rPr>
        <w:t xml:space="preserve">CEA commends the Education Committee for attempting to address one aspect of this problem.  Setting a minimum teacher salary not only recognizes the invaluable service teachers </w:t>
      </w:r>
      <w:r w:rsidR="00FB0C36" w:rsidRPr="005A75AF">
        <w:rPr>
          <w:rFonts w:ascii="Times New Roman" w:hAnsi="Times New Roman" w:cs="Times New Roman"/>
        </w:rPr>
        <w:t>provide but</w:t>
      </w:r>
      <w:r w:rsidRPr="005A75AF">
        <w:rPr>
          <w:rFonts w:ascii="Times New Roman" w:hAnsi="Times New Roman" w:cs="Times New Roman"/>
        </w:rPr>
        <w:t xml:space="preserve"> is also a necessary step toward ensuring the sustainability and quality of education in our state. </w:t>
      </w:r>
      <w:r w:rsidRPr="005A75AF">
        <w:rPr>
          <w:rFonts w:ascii="Times New Roman" w:hAnsi="Times New Roman" w:cs="Times New Roman"/>
          <w:u w:val="single"/>
        </w:rPr>
        <w:t xml:space="preserve"> </w:t>
      </w:r>
      <w:r w:rsidRPr="005A75AF">
        <w:rPr>
          <w:rFonts w:ascii="Times New Roman" w:hAnsi="Times New Roman" w:cs="Times New Roman"/>
        </w:rPr>
        <w:t xml:space="preserve">We recognize this shift would require us to work with our </w:t>
      </w:r>
      <w:r w:rsidR="00FB0C36">
        <w:rPr>
          <w:rFonts w:ascii="Times New Roman" w:hAnsi="Times New Roman" w:cs="Times New Roman"/>
        </w:rPr>
        <w:t>b</w:t>
      </w:r>
      <w:r w:rsidRPr="005A75AF">
        <w:rPr>
          <w:rFonts w:ascii="Times New Roman" w:hAnsi="Times New Roman" w:cs="Times New Roman"/>
        </w:rPr>
        <w:t xml:space="preserve">oards of </w:t>
      </w:r>
      <w:r w:rsidR="00FB0C36">
        <w:rPr>
          <w:rFonts w:ascii="Times New Roman" w:hAnsi="Times New Roman" w:cs="Times New Roman"/>
        </w:rPr>
        <w:t>e</w:t>
      </w:r>
      <w:r w:rsidRPr="005A75AF">
        <w:rPr>
          <w:rFonts w:ascii="Times New Roman" w:hAnsi="Times New Roman" w:cs="Times New Roman"/>
        </w:rPr>
        <w:t>ducation to establish new salary schedules and we are ready, willing</w:t>
      </w:r>
      <w:r w:rsidR="00FB0C36">
        <w:rPr>
          <w:rFonts w:ascii="Times New Roman" w:hAnsi="Times New Roman" w:cs="Times New Roman"/>
        </w:rPr>
        <w:t>,</w:t>
      </w:r>
      <w:r w:rsidRPr="005A75AF">
        <w:rPr>
          <w:rFonts w:ascii="Times New Roman" w:hAnsi="Times New Roman" w:cs="Times New Roman"/>
        </w:rPr>
        <w:t xml:space="preserve"> and able to do that work. </w:t>
      </w:r>
      <w:r w:rsidR="00FB0C36">
        <w:rPr>
          <w:rFonts w:ascii="Times New Roman" w:hAnsi="Times New Roman" w:cs="Times New Roman"/>
        </w:rPr>
        <w:t xml:space="preserve"> </w:t>
      </w:r>
      <w:r w:rsidRPr="005A75AF">
        <w:rPr>
          <w:rFonts w:ascii="Times New Roman" w:hAnsi="Times New Roman" w:cs="Times New Roman"/>
        </w:rPr>
        <w:t>This move will raise our professional recognition and we consider that time to be well spent.</w:t>
      </w:r>
      <w:r w:rsidR="00FB0C36">
        <w:rPr>
          <w:rFonts w:ascii="Times New Roman" w:hAnsi="Times New Roman" w:cs="Times New Roman"/>
        </w:rPr>
        <w:t xml:space="preserve">  </w:t>
      </w:r>
      <w:r w:rsidRPr="005A75AF">
        <w:rPr>
          <w:rFonts w:ascii="Times New Roman" w:hAnsi="Times New Roman" w:cs="Times New Roman"/>
        </w:rPr>
        <w:t>Teachers are the backbone of our future, shaping the minds that will lead tomorrow.</w:t>
      </w:r>
      <w:r w:rsidR="00FB0C36">
        <w:rPr>
          <w:rFonts w:ascii="Times New Roman" w:hAnsi="Times New Roman" w:cs="Times New Roman"/>
        </w:rPr>
        <w:t xml:space="preserve"> </w:t>
      </w:r>
      <w:r w:rsidRPr="005A75AF">
        <w:rPr>
          <w:rFonts w:ascii="Times New Roman" w:hAnsi="Times New Roman" w:cs="Times New Roman"/>
        </w:rPr>
        <w:t xml:space="preserve"> Yet, the financial struggles faced by educators are a reality that </w:t>
      </w:r>
      <w:r w:rsidR="00FB0C36">
        <w:rPr>
          <w:rFonts w:ascii="Times New Roman" w:hAnsi="Times New Roman" w:cs="Times New Roman"/>
        </w:rPr>
        <w:t xml:space="preserve">we </w:t>
      </w:r>
      <w:r w:rsidRPr="005A75AF">
        <w:rPr>
          <w:rFonts w:ascii="Times New Roman" w:hAnsi="Times New Roman" w:cs="Times New Roman"/>
        </w:rPr>
        <w:t xml:space="preserve">cannot ignore.  Many of Connecticut’s educators work second and third jobs to make ends meet. </w:t>
      </w:r>
      <w:r w:rsidR="00FB0C36">
        <w:rPr>
          <w:rFonts w:ascii="Times New Roman" w:hAnsi="Times New Roman" w:cs="Times New Roman"/>
        </w:rPr>
        <w:t xml:space="preserve"> </w:t>
      </w:r>
      <w:r w:rsidRPr="005A75AF">
        <w:rPr>
          <w:rFonts w:ascii="Times New Roman" w:hAnsi="Times New Roman" w:cs="Times New Roman"/>
        </w:rPr>
        <w:t xml:space="preserve">It’s also not uncommon for some to live </w:t>
      </w:r>
      <w:r w:rsidR="00FB0C36">
        <w:rPr>
          <w:rFonts w:ascii="Times New Roman" w:hAnsi="Times New Roman" w:cs="Times New Roman"/>
        </w:rPr>
        <w:t>with their parents or other family members</w:t>
      </w:r>
      <w:r w:rsidRPr="005A75AF">
        <w:rPr>
          <w:rFonts w:ascii="Times New Roman" w:hAnsi="Times New Roman" w:cs="Times New Roman"/>
        </w:rPr>
        <w:t xml:space="preserve"> </w:t>
      </w:r>
      <w:proofErr w:type="gramStart"/>
      <w:r w:rsidRPr="005A75AF">
        <w:rPr>
          <w:rFonts w:ascii="Times New Roman" w:hAnsi="Times New Roman" w:cs="Times New Roman"/>
        </w:rPr>
        <w:t>in order to</w:t>
      </w:r>
      <w:proofErr w:type="gramEnd"/>
      <w:r w:rsidRPr="005A75AF">
        <w:rPr>
          <w:rFonts w:ascii="Times New Roman" w:hAnsi="Times New Roman" w:cs="Times New Roman"/>
        </w:rPr>
        <w:t xml:space="preserve"> get by while paying off immense student debt. </w:t>
      </w:r>
    </w:p>
    <w:p w14:paraId="3D80B1DA" w14:textId="77777777" w:rsidR="005A75AF" w:rsidRPr="005A75AF" w:rsidRDefault="005A75AF" w:rsidP="005A75AF">
      <w:pPr>
        <w:rPr>
          <w:rFonts w:ascii="Times New Roman" w:hAnsi="Times New Roman" w:cs="Times New Roman"/>
        </w:rPr>
      </w:pPr>
    </w:p>
    <w:p w14:paraId="5E2B4F31" w14:textId="6E4DE2CB" w:rsidR="005A75AF" w:rsidRDefault="005A75AF" w:rsidP="005A75AF">
      <w:pPr>
        <w:rPr>
          <w:rFonts w:ascii="Times New Roman" w:hAnsi="Times New Roman" w:cs="Times New Roman"/>
        </w:rPr>
      </w:pPr>
      <w:r w:rsidRPr="005A75AF">
        <w:rPr>
          <w:rFonts w:ascii="Times New Roman" w:hAnsi="Times New Roman" w:cs="Times New Roman"/>
        </w:rPr>
        <w:t>In Connecticut, there are districts paying teachers less than $42,000 per year</w:t>
      </w:r>
      <w:r w:rsidR="00FB0C36">
        <w:rPr>
          <w:rFonts w:ascii="Times New Roman" w:hAnsi="Times New Roman" w:cs="Times New Roman"/>
        </w:rPr>
        <w:t>,</w:t>
      </w:r>
      <w:r w:rsidRPr="005A75AF">
        <w:rPr>
          <w:rFonts w:ascii="Times New Roman" w:hAnsi="Times New Roman" w:cs="Times New Roman"/>
        </w:rPr>
        <w:t xml:space="preserve"> with nearly half of beginning salaries falling below the income threshold to qualify for HUSKY B state assistance.  The attached table </w:t>
      </w:r>
      <w:r w:rsidR="00FB0C36">
        <w:rPr>
          <w:rFonts w:ascii="Times New Roman" w:hAnsi="Times New Roman" w:cs="Times New Roman"/>
        </w:rPr>
        <w:t>showing</w:t>
      </w:r>
      <w:r w:rsidRPr="005A75AF">
        <w:rPr>
          <w:rFonts w:ascii="Times New Roman" w:hAnsi="Times New Roman" w:cs="Times New Roman"/>
        </w:rPr>
        <w:t xml:space="preserve"> starting salaries for teachers with a bachelor’s degree shows the stark severity of the problem.  As of this year, Connecticut has only one school district with a starting salary over $60k. </w:t>
      </w:r>
    </w:p>
    <w:p w14:paraId="47063F47" w14:textId="77777777" w:rsidR="00FB0C36" w:rsidRPr="005A75AF" w:rsidRDefault="00FB0C36" w:rsidP="005A75AF">
      <w:pPr>
        <w:rPr>
          <w:rFonts w:ascii="Times New Roman" w:hAnsi="Times New Roman" w:cs="Times New Roman"/>
        </w:rPr>
      </w:pPr>
    </w:p>
    <w:p w14:paraId="3E89FFEA" w14:textId="182C5F88" w:rsidR="005A75AF" w:rsidRDefault="005A75AF" w:rsidP="005A75AF">
      <w:pPr>
        <w:rPr>
          <w:rFonts w:ascii="Times New Roman" w:hAnsi="Times New Roman" w:cs="Times New Roman"/>
        </w:rPr>
      </w:pPr>
      <w:r w:rsidRPr="005A75AF">
        <w:rPr>
          <w:rFonts w:ascii="Times New Roman" w:hAnsi="Times New Roman" w:cs="Times New Roman"/>
        </w:rPr>
        <w:t xml:space="preserve">A minimum salary of $60,000 reflects a needed commitment to valuing and retaining the educated professionals who dedicate their lives to </w:t>
      </w:r>
      <w:r w:rsidR="00FB0C36">
        <w:rPr>
          <w:rFonts w:ascii="Times New Roman" w:hAnsi="Times New Roman" w:cs="Times New Roman"/>
        </w:rPr>
        <w:t>teaching the next generation</w:t>
      </w:r>
      <w:r w:rsidRPr="005A75AF">
        <w:rPr>
          <w:rFonts w:ascii="Times New Roman" w:hAnsi="Times New Roman" w:cs="Times New Roman"/>
        </w:rPr>
        <w:t xml:space="preserve">.  By supporting this proposal, the legislature would uplift the profession and invest in </w:t>
      </w:r>
      <w:r w:rsidR="00FB0C36">
        <w:rPr>
          <w:rFonts w:ascii="Times New Roman" w:hAnsi="Times New Roman" w:cs="Times New Roman"/>
        </w:rPr>
        <w:t>a</w:t>
      </w:r>
      <w:r w:rsidR="00FB0C36" w:rsidRPr="005A75AF">
        <w:rPr>
          <w:rFonts w:ascii="Times New Roman" w:hAnsi="Times New Roman" w:cs="Times New Roman"/>
        </w:rPr>
        <w:t xml:space="preserve"> </w:t>
      </w:r>
      <w:r w:rsidRPr="005A75AF">
        <w:rPr>
          <w:rFonts w:ascii="Times New Roman" w:hAnsi="Times New Roman" w:cs="Times New Roman"/>
        </w:rPr>
        <w:t xml:space="preserve">quality education for every child in Connecticut. </w:t>
      </w:r>
      <w:r w:rsidR="00FB0C36">
        <w:rPr>
          <w:rFonts w:ascii="Times New Roman" w:hAnsi="Times New Roman" w:cs="Times New Roman"/>
        </w:rPr>
        <w:t xml:space="preserve"> </w:t>
      </w:r>
      <w:r w:rsidRPr="005A75AF">
        <w:rPr>
          <w:rFonts w:ascii="Times New Roman" w:hAnsi="Times New Roman" w:cs="Times New Roman"/>
        </w:rPr>
        <w:t>It</w:t>
      </w:r>
      <w:r w:rsidR="00A54D45">
        <w:rPr>
          <w:rFonts w:ascii="Times New Roman" w:hAnsi="Times New Roman" w:cs="Times New Roman"/>
        </w:rPr>
        <w:t xml:space="preserve"> would be</w:t>
      </w:r>
      <w:r w:rsidRPr="005A75AF">
        <w:rPr>
          <w:rFonts w:ascii="Times New Roman" w:hAnsi="Times New Roman" w:cs="Times New Roman"/>
        </w:rPr>
        <w:t xml:space="preserve"> a signal to current and future educators that their work is valued and that our state prioritizes the wellbeing of those who educate our children. </w:t>
      </w:r>
      <w:r w:rsidR="00A54D45">
        <w:rPr>
          <w:rFonts w:ascii="Times New Roman" w:hAnsi="Times New Roman" w:cs="Times New Roman"/>
        </w:rPr>
        <w:t xml:space="preserve"> </w:t>
      </w:r>
      <w:r w:rsidRPr="005A75AF">
        <w:rPr>
          <w:rFonts w:ascii="Times New Roman" w:hAnsi="Times New Roman" w:cs="Times New Roman"/>
        </w:rPr>
        <w:t>Let's take a step forward in continuing to make Connecticut a leader in education where teachers are supported, valued, and adequately compensated.</w:t>
      </w:r>
    </w:p>
    <w:p w14:paraId="0CAE4E9C" w14:textId="77777777" w:rsidR="00A54D45" w:rsidRPr="005A75AF" w:rsidRDefault="00A54D45" w:rsidP="005A75AF">
      <w:pPr>
        <w:rPr>
          <w:rFonts w:ascii="Times New Roman" w:hAnsi="Times New Roman" w:cs="Times New Roman"/>
        </w:rPr>
      </w:pPr>
    </w:p>
    <w:p w14:paraId="4F2B8A2D" w14:textId="51411CCC" w:rsidR="005A75AF" w:rsidRPr="005A75AF" w:rsidRDefault="005A75AF" w:rsidP="005A75AF">
      <w:pPr>
        <w:rPr>
          <w:rFonts w:ascii="Times New Roman" w:hAnsi="Times New Roman" w:cs="Times New Roman"/>
        </w:rPr>
      </w:pPr>
      <w:r w:rsidRPr="005A75AF">
        <w:rPr>
          <w:rFonts w:ascii="Times New Roman" w:hAnsi="Times New Roman" w:cs="Times New Roman"/>
          <w:b/>
          <w:bCs/>
        </w:rPr>
        <w:t>Section 3</w:t>
      </w:r>
      <w:r w:rsidRPr="005A75AF">
        <w:rPr>
          <w:rFonts w:ascii="Times New Roman" w:hAnsi="Times New Roman" w:cs="Times New Roman"/>
        </w:rPr>
        <w:t xml:space="preserve"> – CEA strongly supports the creation of a $55 million fund to give $1,000 COVID-19 service recognition payments to certified teachers who worked during the pandemic.</w:t>
      </w:r>
      <w:r w:rsidR="00A54D45">
        <w:rPr>
          <w:rFonts w:ascii="Times New Roman" w:hAnsi="Times New Roman" w:cs="Times New Roman"/>
        </w:rPr>
        <w:t xml:space="preserve"> </w:t>
      </w:r>
      <w:r w:rsidRPr="005A75AF">
        <w:rPr>
          <w:rFonts w:ascii="Times New Roman" w:hAnsi="Times New Roman" w:cs="Times New Roman"/>
        </w:rPr>
        <w:t xml:space="preserve"> The recognition payment would be available to any certified teacher employed by a board of education during the 2020 and 2021 school years.</w:t>
      </w:r>
    </w:p>
    <w:p w14:paraId="20C91EEC" w14:textId="77777777" w:rsidR="005A75AF" w:rsidRPr="005A75AF" w:rsidRDefault="005A75AF" w:rsidP="005A75AF">
      <w:pPr>
        <w:rPr>
          <w:rFonts w:ascii="Times New Roman" w:hAnsi="Times New Roman" w:cs="Times New Roman"/>
        </w:rPr>
      </w:pPr>
    </w:p>
    <w:p w14:paraId="5460B5D7" w14:textId="69746909" w:rsidR="005A75AF" w:rsidRPr="005A75AF" w:rsidRDefault="005A75AF" w:rsidP="005A75AF">
      <w:pPr>
        <w:rPr>
          <w:rFonts w:ascii="Times New Roman" w:hAnsi="Times New Roman" w:cs="Times New Roman"/>
        </w:rPr>
      </w:pPr>
      <w:r w:rsidRPr="005A75AF">
        <w:rPr>
          <w:rFonts w:ascii="Times New Roman" w:hAnsi="Times New Roman" w:cs="Times New Roman"/>
        </w:rPr>
        <w:t xml:space="preserve">This recognition is appreciated and overdue. </w:t>
      </w:r>
      <w:r w:rsidR="00A54D45">
        <w:rPr>
          <w:rFonts w:ascii="Times New Roman" w:hAnsi="Times New Roman" w:cs="Times New Roman"/>
        </w:rPr>
        <w:t xml:space="preserve"> </w:t>
      </w:r>
      <w:r w:rsidRPr="005A75AF">
        <w:rPr>
          <w:rFonts w:ascii="Times New Roman" w:hAnsi="Times New Roman" w:cs="Times New Roman"/>
        </w:rPr>
        <w:t xml:space="preserve">Connecticut public school teachers were among the first professionals to answer the call for essential workers; they reported to work </w:t>
      </w:r>
      <w:r w:rsidR="00A54D45">
        <w:rPr>
          <w:rFonts w:ascii="Times New Roman" w:hAnsi="Times New Roman" w:cs="Times New Roman"/>
        </w:rPr>
        <w:t>in</w:t>
      </w:r>
      <w:r w:rsidRPr="005A75AF">
        <w:rPr>
          <w:rFonts w:ascii="Times New Roman" w:hAnsi="Times New Roman" w:cs="Times New Roman"/>
        </w:rPr>
        <w:t xml:space="preserve"> a high-risk </w:t>
      </w:r>
      <w:r w:rsidR="00A54D45">
        <w:rPr>
          <w:rFonts w:ascii="Times New Roman" w:hAnsi="Times New Roman" w:cs="Times New Roman"/>
        </w:rPr>
        <w:t>environment</w:t>
      </w:r>
      <w:r w:rsidRPr="005A75AF">
        <w:rPr>
          <w:rFonts w:ascii="Times New Roman" w:hAnsi="Times New Roman" w:cs="Times New Roman"/>
        </w:rPr>
        <w:t xml:space="preserve"> at a time when there were no vaccines available and tremendous uncertainty about how the disease was spread.  Many teachers contracted COVID-19, some multiple times, while working among a student population whose mask</w:t>
      </w:r>
      <w:r w:rsidR="00A54D45">
        <w:rPr>
          <w:rFonts w:ascii="Times New Roman" w:hAnsi="Times New Roman" w:cs="Times New Roman"/>
        </w:rPr>
        <w:t xml:space="preserve"> </w:t>
      </w:r>
      <w:r w:rsidRPr="005A75AF">
        <w:rPr>
          <w:rFonts w:ascii="Times New Roman" w:hAnsi="Times New Roman" w:cs="Times New Roman"/>
        </w:rPr>
        <w:t>habits presented heightened exposure to health risks.</w:t>
      </w:r>
    </w:p>
    <w:p w14:paraId="324953EA" w14:textId="77777777" w:rsidR="005A75AF" w:rsidRPr="005A75AF" w:rsidRDefault="005A75AF" w:rsidP="005A75AF">
      <w:pPr>
        <w:rPr>
          <w:rFonts w:ascii="Times New Roman" w:hAnsi="Times New Roman" w:cs="Times New Roman"/>
        </w:rPr>
      </w:pPr>
    </w:p>
    <w:p w14:paraId="1D2CDC9D" w14:textId="4B52D67E" w:rsidR="005A75AF" w:rsidRDefault="005A75AF" w:rsidP="005A75AF">
      <w:pPr>
        <w:rPr>
          <w:rFonts w:ascii="Times New Roman" w:hAnsi="Times New Roman" w:cs="Times New Roman"/>
        </w:rPr>
      </w:pPr>
      <w:r w:rsidRPr="005A75AF">
        <w:rPr>
          <w:rFonts w:ascii="Times New Roman" w:hAnsi="Times New Roman" w:cs="Times New Roman"/>
        </w:rPr>
        <w:t xml:space="preserve">Our teachers have consistently demonstrated an unwavering commitment to the success of our students and have put the needs of students before their own health and wellbeing (and the wellbeing of their families). This bill acknowledges the sacrifices made by our teachers, and it provides </w:t>
      </w:r>
      <w:r w:rsidR="00D073B6">
        <w:rPr>
          <w:rFonts w:ascii="Times New Roman" w:hAnsi="Times New Roman" w:cs="Times New Roman"/>
        </w:rPr>
        <w:t>h</w:t>
      </w:r>
      <w:r w:rsidRPr="005A75AF">
        <w:rPr>
          <w:rFonts w:ascii="Times New Roman" w:hAnsi="Times New Roman" w:cs="Times New Roman"/>
        </w:rPr>
        <w:t>ero compensation to them for going above and beyond the call of duty during the pandemic.</w:t>
      </w:r>
    </w:p>
    <w:p w14:paraId="2364892F" w14:textId="77777777" w:rsidR="00A54D45" w:rsidRDefault="00A54D45" w:rsidP="005A75AF">
      <w:pPr>
        <w:rPr>
          <w:rFonts w:ascii="Times New Roman" w:hAnsi="Times New Roman" w:cs="Times New Roman"/>
        </w:rPr>
      </w:pPr>
    </w:p>
    <w:p w14:paraId="180A67C9" w14:textId="4DF475C6" w:rsidR="00D073B6" w:rsidRDefault="00A54D45" w:rsidP="005A75AF">
      <w:pPr>
        <w:rPr>
          <w:rFonts w:ascii="Times New Roman" w:hAnsi="Times New Roman" w:cs="Times New Roman"/>
        </w:rPr>
      </w:pPr>
      <w:r>
        <w:rPr>
          <w:rFonts w:ascii="Times New Roman" w:hAnsi="Times New Roman" w:cs="Times New Roman"/>
        </w:rPr>
        <w:t>Furthermore, teachers continue to see the effects of the pandemic in their classrooms every day.  The academic and social-emotional toll of that period continues to present challenges for students</w:t>
      </w:r>
      <w:r w:rsidR="003B5544">
        <w:rPr>
          <w:rFonts w:ascii="Times New Roman" w:hAnsi="Times New Roman" w:cs="Times New Roman"/>
        </w:rPr>
        <w:t>,</w:t>
      </w:r>
      <w:r>
        <w:rPr>
          <w:rFonts w:ascii="Times New Roman" w:hAnsi="Times New Roman" w:cs="Times New Roman"/>
        </w:rPr>
        <w:t xml:space="preserve"> and </w:t>
      </w:r>
      <w:r w:rsidR="00D073B6">
        <w:rPr>
          <w:rFonts w:ascii="Times New Roman" w:hAnsi="Times New Roman" w:cs="Times New Roman"/>
        </w:rPr>
        <w:t xml:space="preserve">teachers </w:t>
      </w:r>
      <w:r w:rsidR="003B5544">
        <w:rPr>
          <w:rFonts w:ascii="Times New Roman" w:hAnsi="Times New Roman" w:cs="Times New Roman"/>
        </w:rPr>
        <w:t xml:space="preserve">work with greater numbers of students displaying problematic </w:t>
      </w:r>
      <w:proofErr w:type="gramStart"/>
      <w:r w:rsidR="003B5544">
        <w:rPr>
          <w:rFonts w:ascii="Times New Roman" w:hAnsi="Times New Roman" w:cs="Times New Roman"/>
        </w:rPr>
        <w:t xml:space="preserve">behaviors </w:t>
      </w:r>
      <w:r w:rsidR="00D073B6" w:rsidRPr="00D073B6">
        <w:rPr>
          <w:rFonts w:ascii="Times New Roman" w:hAnsi="Times New Roman" w:cs="Times New Roman"/>
        </w:rPr>
        <w:t xml:space="preserve"> </w:t>
      </w:r>
      <w:r w:rsidR="003B5544">
        <w:rPr>
          <w:rFonts w:ascii="Times New Roman" w:hAnsi="Times New Roman" w:cs="Times New Roman"/>
        </w:rPr>
        <w:t>and</w:t>
      </w:r>
      <w:proofErr w:type="gramEnd"/>
      <w:r w:rsidR="003B5544">
        <w:rPr>
          <w:rFonts w:ascii="Times New Roman" w:hAnsi="Times New Roman" w:cs="Times New Roman"/>
        </w:rPr>
        <w:t xml:space="preserve"> children</w:t>
      </w:r>
      <w:r w:rsidR="00D073B6" w:rsidRPr="00D073B6">
        <w:rPr>
          <w:rFonts w:ascii="Times New Roman" w:hAnsi="Times New Roman" w:cs="Times New Roman"/>
        </w:rPr>
        <w:t xml:space="preserve"> </w:t>
      </w:r>
      <w:r w:rsidR="003B5544">
        <w:rPr>
          <w:rFonts w:ascii="Times New Roman" w:hAnsi="Times New Roman" w:cs="Times New Roman"/>
        </w:rPr>
        <w:t>in</w:t>
      </w:r>
      <w:r w:rsidR="00D073B6" w:rsidRPr="00D073B6">
        <w:rPr>
          <w:rFonts w:ascii="Times New Roman" w:hAnsi="Times New Roman" w:cs="Times New Roman"/>
        </w:rPr>
        <w:t xml:space="preserve"> the early grades </w:t>
      </w:r>
      <w:r w:rsidR="003B5544">
        <w:rPr>
          <w:rFonts w:ascii="Times New Roman" w:hAnsi="Times New Roman" w:cs="Times New Roman"/>
        </w:rPr>
        <w:t xml:space="preserve">who </w:t>
      </w:r>
      <w:r w:rsidR="00D073B6" w:rsidRPr="00D073B6">
        <w:rPr>
          <w:rFonts w:ascii="Times New Roman" w:hAnsi="Times New Roman" w:cs="Times New Roman"/>
        </w:rPr>
        <w:t>lack the verbal, social, and emotional skills they need to succeed</w:t>
      </w:r>
      <w:r w:rsidR="003B5544">
        <w:rPr>
          <w:rFonts w:ascii="Times New Roman" w:hAnsi="Times New Roman" w:cs="Times New Roman"/>
        </w:rPr>
        <w:t>.</w:t>
      </w:r>
    </w:p>
    <w:p w14:paraId="22D81A2D" w14:textId="77777777" w:rsidR="00D073B6" w:rsidRDefault="00D073B6" w:rsidP="005A75AF">
      <w:pPr>
        <w:rPr>
          <w:rFonts w:ascii="Times New Roman" w:hAnsi="Times New Roman" w:cs="Times New Roman"/>
        </w:rPr>
      </w:pPr>
    </w:p>
    <w:p w14:paraId="55F8FF88" w14:textId="3D71F157" w:rsidR="00A54D45" w:rsidRPr="005A75AF" w:rsidRDefault="00D073B6" w:rsidP="005A75AF">
      <w:pPr>
        <w:rPr>
          <w:rFonts w:ascii="Times New Roman" w:hAnsi="Times New Roman" w:cs="Times New Roman"/>
        </w:rPr>
      </w:pPr>
      <w:r>
        <w:rPr>
          <w:rFonts w:ascii="Times New Roman" w:hAnsi="Times New Roman" w:cs="Times New Roman"/>
        </w:rPr>
        <w:t xml:space="preserve">This </w:t>
      </w:r>
      <w:r w:rsidR="003B5544">
        <w:rPr>
          <w:rFonts w:ascii="Times New Roman" w:hAnsi="Times New Roman" w:cs="Times New Roman"/>
        </w:rPr>
        <w:t xml:space="preserve">proposal </w:t>
      </w:r>
      <w:r>
        <w:rPr>
          <w:rFonts w:ascii="Times New Roman" w:hAnsi="Times New Roman" w:cs="Times New Roman"/>
        </w:rPr>
        <w:t xml:space="preserve">would give teachers the same recognition that other essential workers received for the role they played during the pandemic. It would demonstrate to teachers and those considering becoming teachers that the teaching profession is </w:t>
      </w:r>
      <w:proofErr w:type="gramStart"/>
      <w:r w:rsidR="003B5544">
        <w:rPr>
          <w:rFonts w:ascii="Times New Roman" w:hAnsi="Times New Roman" w:cs="Times New Roman"/>
        </w:rPr>
        <w:t>valued</w:t>
      </w:r>
      <w:proofErr w:type="gramEnd"/>
      <w:r>
        <w:rPr>
          <w:rFonts w:ascii="Times New Roman" w:hAnsi="Times New Roman" w:cs="Times New Roman"/>
        </w:rPr>
        <w:t xml:space="preserve"> and our sacrifices did not go unacknowledged.  </w:t>
      </w:r>
    </w:p>
    <w:p w14:paraId="6988CC66" w14:textId="77777777" w:rsidR="005A75AF" w:rsidRPr="005A75AF" w:rsidRDefault="005A75AF" w:rsidP="005A75AF">
      <w:pPr>
        <w:rPr>
          <w:rFonts w:ascii="Times New Roman" w:hAnsi="Times New Roman" w:cs="Times New Roman"/>
        </w:rPr>
      </w:pPr>
    </w:p>
    <w:p w14:paraId="5D182EE7" w14:textId="54FD733B" w:rsidR="005A75AF" w:rsidRPr="005A75AF" w:rsidRDefault="005A75AF" w:rsidP="005A75AF">
      <w:pPr>
        <w:rPr>
          <w:rStyle w:val="eop"/>
          <w:rFonts w:ascii="Times New Roman" w:hAnsi="Times New Roman" w:cs="Times New Roman"/>
          <w:b/>
          <w:bCs/>
          <w:i/>
          <w:iCs/>
        </w:rPr>
      </w:pPr>
      <w:r w:rsidRPr="005A75AF">
        <w:rPr>
          <w:rStyle w:val="eop"/>
          <w:rFonts w:ascii="Times New Roman" w:hAnsi="Times New Roman" w:cs="Times New Roman"/>
          <w:b/>
          <w:bCs/>
        </w:rPr>
        <w:t>Section 4</w:t>
      </w:r>
      <w:r w:rsidRPr="005A75AF">
        <w:rPr>
          <w:rStyle w:val="eop"/>
          <w:rFonts w:ascii="Times New Roman" w:hAnsi="Times New Roman" w:cs="Times New Roman"/>
        </w:rPr>
        <w:t xml:space="preserve"> – CEA supports the inclusion of a teacher on the Governor’s Workforce Council.  Including the input of teachers in the Workforce Council is wise, and it is not new.  Over the past few years, Governor Lamont has reached out to CEA for inclusion in Workforce Council meetings.  Formalizing the role of a teacher on the Workforce Council makes sense and better ensures that there is a continuity of thought and approach between those who guide student learning in schools and those who help shape the future of work for students.  </w:t>
      </w:r>
      <w:r w:rsidRPr="005A75AF">
        <w:rPr>
          <w:rStyle w:val="eop"/>
          <w:rFonts w:ascii="Times New Roman" w:hAnsi="Times New Roman" w:cs="Times New Roman"/>
          <w:b/>
          <w:bCs/>
          <w:i/>
          <w:iCs/>
        </w:rPr>
        <w:t>It is important to note that we are a workforce that is also facing a dire shortage. Like our friends in manufacturing and health care, we need to encourage the growth of the educator workforce to continue to grow our economy in Connecticut.</w:t>
      </w:r>
    </w:p>
    <w:p w14:paraId="03CC32C8" w14:textId="77777777" w:rsidR="005A75AF" w:rsidRPr="005A75AF" w:rsidRDefault="005A75AF" w:rsidP="005A75AF">
      <w:pPr>
        <w:rPr>
          <w:rStyle w:val="normaltextrun"/>
          <w:rFonts w:ascii="Times New Roman" w:hAnsi="Times New Roman" w:cs="Times New Roman"/>
          <w:b/>
          <w:bCs/>
        </w:rPr>
      </w:pPr>
    </w:p>
    <w:p w14:paraId="4BC4D47C" w14:textId="7ACFDA14" w:rsidR="005A75AF" w:rsidRPr="005A75AF" w:rsidRDefault="005A75AF" w:rsidP="005A75AF">
      <w:pPr>
        <w:spacing w:after="120"/>
        <w:rPr>
          <w:rStyle w:val="normaltextrun"/>
          <w:rFonts w:ascii="Times New Roman" w:hAnsi="Times New Roman" w:cs="Times New Roman"/>
          <w:b/>
          <w:bCs/>
        </w:rPr>
      </w:pPr>
      <w:r w:rsidRPr="005A75AF">
        <w:rPr>
          <w:rStyle w:val="normaltextrun"/>
          <w:rFonts w:ascii="Times New Roman" w:hAnsi="Times New Roman" w:cs="Times New Roman"/>
          <w:b/>
          <w:bCs/>
        </w:rPr>
        <w:t xml:space="preserve">HB 5435 </w:t>
      </w:r>
      <w:r w:rsidRPr="005A75AF">
        <w:rPr>
          <w:rStyle w:val="normaltextrun"/>
          <w:rFonts w:ascii="Times New Roman" w:hAnsi="Times New Roman" w:cs="Times New Roman"/>
          <w:b/>
          <w:bCs/>
          <w:kern w:val="0"/>
          <w14:ligatures w14:val="none"/>
        </w:rPr>
        <w:t xml:space="preserve">AAC </w:t>
      </w:r>
      <w:r w:rsidR="00002C82">
        <w:rPr>
          <w:rStyle w:val="normaltextrun"/>
          <w:rFonts w:ascii="Times New Roman" w:hAnsi="Times New Roman" w:cs="Times New Roman"/>
          <w:b/>
          <w:bCs/>
          <w:kern w:val="0"/>
          <w14:ligatures w14:val="none"/>
        </w:rPr>
        <w:t>t</w:t>
      </w:r>
      <w:r w:rsidRPr="005A75AF">
        <w:rPr>
          <w:rStyle w:val="normaltextrun"/>
          <w:rFonts w:ascii="Times New Roman" w:hAnsi="Times New Roman" w:cs="Times New Roman"/>
          <w:b/>
          <w:bCs/>
          <w:kern w:val="0"/>
          <w14:ligatures w14:val="none"/>
        </w:rPr>
        <w:t xml:space="preserve">he Development of a Plan for the Conversion </w:t>
      </w:r>
      <w:r w:rsidR="00002C82">
        <w:rPr>
          <w:rStyle w:val="normaltextrun"/>
          <w:rFonts w:ascii="Times New Roman" w:hAnsi="Times New Roman" w:cs="Times New Roman"/>
          <w:b/>
          <w:bCs/>
          <w:kern w:val="0"/>
          <w14:ligatures w14:val="none"/>
        </w:rPr>
        <w:t>o</w:t>
      </w:r>
      <w:r w:rsidRPr="005A75AF">
        <w:rPr>
          <w:rStyle w:val="normaltextrun"/>
          <w:rFonts w:ascii="Times New Roman" w:hAnsi="Times New Roman" w:cs="Times New Roman"/>
          <w:b/>
          <w:bCs/>
          <w:kern w:val="0"/>
          <w14:ligatures w14:val="none"/>
        </w:rPr>
        <w:t xml:space="preserve">f </w:t>
      </w:r>
      <w:proofErr w:type="spellStart"/>
      <w:r w:rsidR="00002C82">
        <w:rPr>
          <w:rStyle w:val="normaltextrun"/>
          <w:rFonts w:ascii="Times New Roman" w:hAnsi="Times New Roman" w:cs="Times New Roman"/>
          <w:b/>
          <w:bCs/>
          <w:kern w:val="0"/>
          <w14:ligatures w14:val="none"/>
        </w:rPr>
        <w:t>f</w:t>
      </w:r>
      <w:r w:rsidRPr="005A75AF">
        <w:rPr>
          <w:rStyle w:val="normaltextrun"/>
          <w:rFonts w:ascii="Times New Roman" w:hAnsi="Times New Roman" w:cs="Times New Roman"/>
          <w:b/>
          <w:bCs/>
          <w:kern w:val="0"/>
          <w14:ligatures w14:val="none"/>
        </w:rPr>
        <w:t>he</w:t>
      </w:r>
      <w:proofErr w:type="spellEnd"/>
      <w:r w:rsidRPr="005A75AF">
        <w:rPr>
          <w:rStyle w:val="normaltextrun"/>
          <w:rFonts w:ascii="Times New Roman" w:hAnsi="Times New Roman" w:cs="Times New Roman"/>
          <w:b/>
          <w:bCs/>
          <w:kern w:val="0"/>
          <w14:ligatures w14:val="none"/>
        </w:rPr>
        <w:t xml:space="preserve"> State Board </w:t>
      </w:r>
      <w:r w:rsidR="00002C82">
        <w:rPr>
          <w:rStyle w:val="normaltextrun"/>
          <w:rFonts w:ascii="Times New Roman" w:hAnsi="Times New Roman" w:cs="Times New Roman"/>
          <w:b/>
          <w:bCs/>
          <w:kern w:val="0"/>
          <w14:ligatures w14:val="none"/>
        </w:rPr>
        <w:t>o</w:t>
      </w:r>
      <w:r w:rsidRPr="005A75AF">
        <w:rPr>
          <w:rStyle w:val="normaltextrun"/>
          <w:rFonts w:ascii="Times New Roman" w:hAnsi="Times New Roman" w:cs="Times New Roman"/>
          <w:b/>
          <w:bCs/>
          <w:kern w:val="0"/>
          <w14:ligatures w14:val="none"/>
        </w:rPr>
        <w:t xml:space="preserve">f Education </w:t>
      </w:r>
      <w:r w:rsidR="00002C82">
        <w:rPr>
          <w:rStyle w:val="normaltextrun"/>
          <w:rFonts w:ascii="Times New Roman" w:hAnsi="Times New Roman" w:cs="Times New Roman"/>
          <w:b/>
          <w:bCs/>
          <w:kern w:val="0"/>
          <w14:ligatures w14:val="none"/>
        </w:rPr>
        <w:t>t</w:t>
      </w:r>
      <w:r w:rsidRPr="005A75AF">
        <w:rPr>
          <w:rStyle w:val="normaltextrun"/>
          <w:rFonts w:ascii="Times New Roman" w:hAnsi="Times New Roman" w:cs="Times New Roman"/>
          <w:b/>
          <w:bCs/>
          <w:kern w:val="0"/>
          <w14:ligatures w14:val="none"/>
        </w:rPr>
        <w:t xml:space="preserve">o </w:t>
      </w:r>
      <w:r w:rsidR="00002C82">
        <w:rPr>
          <w:rStyle w:val="normaltextrun"/>
          <w:rFonts w:ascii="Times New Roman" w:hAnsi="Times New Roman" w:cs="Times New Roman"/>
          <w:b/>
          <w:bCs/>
          <w:kern w:val="0"/>
          <w14:ligatures w14:val="none"/>
        </w:rPr>
        <w:t>a</w:t>
      </w:r>
      <w:r w:rsidRPr="005A75AF">
        <w:rPr>
          <w:rStyle w:val="normaltextrun"/>
          <w:rFonts w:ascii="Times New Roman" w:hAnsi="Times New Roman" w:cs="Times New Roman"/>
          <w:b/>
          <w:bCs/>
          <w:kern w:val="0"/>
          <w14:ligatures w14:val="none"/>
        </w:rPr>
        <w:t xml:space="preserve">n Advisory Board Within </w:t>
      </w:r>
      <w:r w:rsidR="00002C82">
        <w:rPr>
          <w:rStyle w:val="normaltextrun"/>
          <w:rFonts w:ascii="Times New Roman" w:hAnsi="Times New Roman" w:cs="Times New Roman"/>
          <w:b/>
          <w:bCs/>
          <w:kern w:val="0"/>
          <w14:ligatures w14:val="none"/>
        </w:rPr>
        <w:t>t</w:t>
      </w:r>
      <w:r w:rsidRPr="005A75AF">
        <w:rPr>
          <w:rStyle w:val="normaltextrun"/>
          <w:rFonts w:ascii="Times New Roman" w:hAnsi="Times New Roman" w:cs="Times New Roman"/>
          <w:b/>
          <w:bCs/>
          <w:kern w:val="0"/>
          <w14:ligatures w14:val="none"/>
        </w:rPr>
        <w:t xml:space="preserve">he Department </w:t>
      </w:r>
      <w:r w:rsidR="00002C82">
        <w:rPr>
          <w:rStyle w:val="normaltextrun"/>
          <w:rFonts w:ascii="Times New Roman" w:hAnsi="Times New Roman" w:cs="Times New Roman"/>
          <w:b/>
          <w:bCs/>
          <w:kern w:val="0"/>
          <w14:ligatures w14:val="none"/>
        </w:rPr>
        <w:t>o</w:t>
      </w:r>
      <w:r w:rsidRPr="005A75AF">
        <w:rPr>
          <w:rStyle w:val="normaltextrun"/>
          <w:rFonts w:ascii="Times New Roman" w:hAnsi="Times New Roman" w:cs="Times New Roman"/>
          <w:b/>
          <w:bCs/>
          <w:kern w:val="0"/>
          <w14:ligatures w14:val="none"/>
        </w:rPr>
        <w:t>f Education</w:t>
      </w:r>
      <w:r w:rsidRPr="005A75AF">
        <w:rPr>
          <w:rStyle w:val="eop"/>
          <w:rFonts w:ascii="Times New Roman" w:hAnsi="Times New Roman" w:cs="Times New Roman"/>
        </w:rPr>
        <w:t> </w:t>
      </w:r>
    </w:p>
    <w:p w14:paraId="59186ADE" w14:textId="008075FB" w:rsidR="005A75AF" w:rsidRPr="005A75AF" w:rsidRDefault="005A75AF" w:rsidP="005A75AF">
      <w:pPr>
        <w:rPr>
          <w:rStyle w:val="normaltextrun"/>
          <w:rFonts w:ascii="Times New Roman" w:hAnsi="Times New Roman" w:cs="Times New Roman"/>
        </w:rPr>
      </w:pPr>
      <w:r w:rsidRPr="005A75AF">
        <w:rPr>
          <w:rStyle w:val="normaltextrun"/>
          <w:rFonts w:ascii="Times New Roman" w:hAnsi="Times New Roman" w:cs="Times New Roman"/>
        </w:rPr>
        <w:t>CEA supports the idea of converting the State Board of Education to an advisory board within the State Department of Education.  The State Department of Education is administered by a commissioner and staff whose roles demand knowledge, experience, and expertise in various matters relating to the state's educational interests.  From instructional matters to grant management and fiscal analyses, the department is led, administered, and guided by leading professionals in their field</w:t>
      </w:r>
      <w:r w:rsidR="00002C82">
        <w:rPr>
          <w:rStyle w:val="normaltextrun"/>
          <w:rFonts w:ascii="Times New Roman" w:hAnsi="Times New Roman" w:cs="Times New Roman"/>
        </w:rPr>
        <w:t>s</w:t>
      </w:r>
      <w:r w:rsidRPr="005A75AF">
        <w:rPr>
          <w:rStyle w:val="normaltextrun"/>
          <w:rFonts w:ascii="Times New Roman" w:hAnsi="Times New Roman" w:cs="Times New Roman"/>
        </w:rPr>
        <w:t>.</w:t>
      </w:r>
    </w:p>
    <w:p w14:paraId="4BA3B9BF" w14:textId="77777777" w:rsidR="005A75AF" w:rsidRPr="005A75AF" w:rsidRDefault="005A75AF" w:rsidP="005A75AF">
      <w:pPr>
        <w:rPr>
          <w:rStyle w:val="normaltextrun"/>
          <w:rFonts w:ascii="Times New Roman" w:hAnsi="Times New Roman" w:cs="Times New Roman"/>
        </w:rPr>
      </w:pPr>
    </w:p>
    <w:p w14:paraId="18C8ADFA" w14:textId="4FFC7B7F" w:rsidR="005A75AF" w:rsidRPr="005A75AF" w:rsidRDefault="005A75AF" w:rsidP="005A75AF">
      <w:pPr>
        <w:rPr>
          <w:rStyle w:val="normaltextrun"/>
          <w:rFonts w:ascii="Times New Roman" w:hAnsi="Times New Roman" w:cs="Times New Roman"/>
        </w:rPr>
      </w:pPr>
      <w:r w:rsidRPr="005A75AF">
        <w:rPr>
          <w:rStyle w:val="normaltextrun"/>
          <w:rFonts w:ascii="Times New Roman" w:hAnsi="Times New Roman" w:cs="Times New Roman"/>
        </w:rPr>
        <w:t>Appointees to the State Board of Education</w:t>
      </w:r>
      <w:r w:rsidR="00002C82">
        <w:rPr>
          <w:rStyle w:val="normaltextrun"/>
          <w:rFonts w:ascii="Times New Roman" w:hAnsi="Times New Roman" w:cs="Times New Roman"/>
        </w:rPr>
        <w:t xml:space="preserve"> </w:t>
      </w:r>
      <w:r w:rsidRPr="005A75AF">
        <w:rPr>
          <w:rStyle w:val="normaltextrun"/>
          <w:rFonts w:ascii="Times New Roman" w:hAnsi="Times New Roman" w:cs="Times New Roman"/>
        </w:rPr>
        <w:t xml:space="preserve">provide helpful insights and perspectives for consideration by the Department of Education in carrying out its functions.  However, there are no educators required to be among the appointees. </w:t>
      </w:r>
      <w:r w:rsidR="00002C82">
        <w:rPr>
          <w:rStyle w:val="normaltextrun"/>
          <w:rFonts w:ascii="Times New Roman" w:hAnsi="Times New Roman" w:cs="Times New Roman"/>
        </w:rPr>
        <w:t xml:space="preserve"> </w:t>
      </w:r>
      <w:r w:rsidRPr="005A75AF">
        <w:rPr>
          <w:rStyle w:val="normaltextrun"/>
          <w:rFonts w:ascii="Times New Roman" w:hAnsi="Times New Roman" w:cs="Times New Roman"/>
        </w:rPr>
        <w:t xml:space="preserve">The only </w:t>
      </w:r>
      <w:r w:rsidR="00002C82">
        <w:rPr>
          <w:rStyle w:val="normaltextrun"/>
          <w:rFonts w:ascii="Times New Roman" w:hAnsi="Times New Roman" w:cs="Times New Roman"/>
        </w:rPr>
        <w:t xml:space="preserve">perspectives </w:t>
      </w:r>
      <w:r w:rsidRPr="005A75AF">
        <w:rPr>
          <w:rStyle w:val="normaltextrun"/>
          <w:rFonts w:ascii="Times New Roman" w:hAnsi="Times New Roman" w:cs="Times New Roman"/>
        </w:rPr>
        <w:t>required to be represented among voting appointees are th</w:t>
      </w:r>
      <w:r w:rsidR="00002C82">
        <w:rPr>
          <w:rStyle w:val="normaltextrun"/>
          <w:rFonts w:ascii="Times New Roman" w:hAnsi="Times New Roman" w:cs="Times New Roman"/>
        </w:rPr>
        <w:t>ose</w:t>
      </w:r>
      <w:r w:rsidRPr="005A75AF">
        <w:rPr>
          <w:rStyle w:val="normaltextrun"/>
          <w:rFonts w:ascii="Times New Roman" w:hAnsi="Times New Roman" w:cs="Times New Roman"/>
        </w:rPr>
        <w:t xml:space="preserve"> of </w:t>
      </w:r>
      <w:r w:rsidR="00002C82">
        <w:rPr>
          <w:rStyle w:val="normaltextrun"/>
          <w:rFonts w:ascii="Times New Roman" w:hAnsi="Times New Roman" w:cs="Times New Roman"/>
        </w:rPr>
        <w:t xml:space="preserve">the </w:t>
      </w:r>
      <w:r w:rsidRPr="005A75AF">
        <w:rPr>
          <w:rStyle w:val="normaltextrun"/>
          <w:rFonts w:ascii="Times New Roman" w:hAnsi="Times New Roman" w:cs="Times New Roman"/>
        </w:rPr>
        <w:t xml:space="preserve">manufacturing industry and </w:t>
      </w:r>
      <w:r w:rsidR="00002C82">
        <w:rPr>
          <w:rStyle w:val="normaltextrun"/>
          <w:rFonts w:ascii="Times New Roman" w:hAnsi="Times New Roman" w:cs="Times New Roman"/>
        </w:rPr>
        <w:t xml:space="preserve">of </w:t>
      </w:r>
      <w:r w:rsidRPr="005A75AF">
        <w:rPr>
          <w:rStyle w:val="normaltextrun"/>
          <w:rFonts w:ascii="Times New Roman" w:hAnsi="Times New Roman" w:cs="Times New Roman"/>
        </w:rPr>
        <w:t xml:space="preserve">agriculture.  It is appropriate for the legislature to question whether the role of the State Board of Education </w:t>
      </w:r>
      <w:r w:rsidR="00002C82">
        <w:rPr>
          <w:rStyle w:val="normaltextrun"/>
          <w:rFonts w:ascii="Times New Roman" w:hAnsi="Times New Roman" w:cs="Times New Roman"/>
        </w:rPr>
        <w:t>would be more</w:t>
      </w:r>
      <w:r w:rsidRPr="005A75AF">
        <w:rPr>
          <w:rStyle w:val="normaltextrun"/>
          <w:rFonts w:ascii="Times New Roman" w:hAnsi="Times New Roman" w:cs="Times New Roman"/>
        </w:rPr>
        <w:t xml:space="preserve"> effective </w:t>
      </w:r>
      <w:r w:rsidR="00002C82">
        <w:rPr>
          <w:rStyle w:val="normaltextrun"/>
          <w:rFonts w:ascii="Times New Roman" w:hAnsi="Times New Roman" w:cs="Times New Roman"/>
        </w:rPr>
        <w:t>if it were</w:t>
      </w:r>
      <w:r w:rsidRPr="005A75AF">
        <w:rPr>
          <w:rStyle w:val="normaltextrun"/>
          <w:rFonts w:ascii="Times New Roman" w:hAnsi="Times New Roman" w:cs="Times New Roman"/>
        </w:rPr>
        <w:t xml:space="preserve"> advisory </w:t>
      </w:r>
      <w:proofErr w:type="gramStart"/>
      <w:r w:rsidR="00002C82">
        <w:rPr>
          <w:rStyle w:val="normaltextrun"/>
          <w:rFonts w:ascii="Times New Roman" w:hAnsi="Times New Roman" w:cs="Times New Roman"/>
        </w:rPr>
        <w:t>in  nature</w:t>
      </w:r>
      <w:proofErr w:type="gramEnd"/>
      <w:r w:rsidRPr="005A75AF">
        <w:rPr>
          <w:rStyle w:val="normaltextrun"/>
          <w:rFonts w:ascii="Times New Roman" w:hAnsi="Times New Roman" w:cs="Times New Roman"/>
        </w:rPr>
        <w:t xml:space="preserve">.  </w:t>
      </w:r>
      <w:r w:rsidR="00002C82">
        <w:rPr>
          <w:rStyle w:val="normaltextrun"/>
          <w:rFonts w:ascii="Times New Roman" w:hAnsi="Times New Roman" w:cs="Times New Roman"/>
        </w:rPr>
        <w:t xml:space="preserve">Should </w:t>
      </w:r>
      <w:r w:rsidRPr="005A75AF">
        <w:rPr>
          <w:rStyle w:val="normaltextrun"/>
          <w:rFonts w:ascii="Times New Roman" w:hAnsi="Times New Roman" w:cs="Times New Roman"/>
        </w:rPr>
        <w:t>this transition</w:t>
      </w:r>
      <w:r w:rsidR="00002C82">
        <w:rPr>
          <w:rStyle w:val="normaltextrun"/>
          <w:rFonts w:ascii="Times New Roman" w:hAnsi="Times New Roman" w:cs="Times New Roman"/>
        </w:rPr>
        <w:t xml:space="preserve"> occur</w:t>
      </w:r>
      <w:r w:rsidRPr="005A75AF">
        <w:rPr>
          <w:rStyle w:val="normaltextrun"/>
          <w:rFonts w:ascii="Times New Roman" w:hAnsi="Times New Roman" w:cs="Times New Roman"/>
        </w:rPr>
        <w:t xml:space="preserve">, it </w:t>
      </w:r>
      <w:r w:rsidR="00002C82">
        <w:rPr>
          <w:rStyle w:val="normaltextrun"/>
          <w:rFonts w:ascii="Times New Roman" w:hAnsi="Times New Roman" w:cs="Times New Roman"/>
        </w:rPr>
        <w:t>would be</w:t>
      </w:r>
      <w:r w:rsidRPr="005A75AF">
        <w:rPr>
          <w:rStyle w:val="normaltextrun"/>
          <w:rFonts w:ascii="Times New Roman" w:hAnsi="Times New Roman" w:cs="Times New Roman"/>
        </w:rPr>
        <w:t xml:space="preserve"> important that we thoughtfully develop practices that maintain transparency and communication regarding oversight responsibilities the </w:t>
      </w:r>
      <w:r w:rsidR="00002C82">
        <w:rPr>
          <w:rStyle w:val="normaltextrun"/>
          <w:rFonts w:ascii="Times New Roman" w:hAnsi="Times New Roman" w:cs="Times New Roman"/>
        </w:rPr>
        <w:t>B</w:t>
      </w:r>
      <w:r w:rsidRPr="005A75AF">
        <w:rPr>
          <w:rStyle w:val="normaltextrun"/>
          <w:rFonts w:ascii="Times New Roman" w:hAnsi="Times New Roman" w:cs="Times New Roman"/>
        </w:rPr>
        <w:t xml:space="preserve">oard currently holds. </w:t>
      </w:r>
    </w:p>
    <w:p w14:paraId="65C715CD" w14:textId="77777777" w:rsidR="005A75AF" w:rsidRPr="005A75AF" w:rsidRDefault="005A75AF" w:rsidP="005A75AF">
      <w:pPr>
        <w:rPr>
          <w:rStyle w:val="normaltextrun"/>
          <w:rFonts w:ascii="Times New Roman" w:hAnsi="Times New Roman" w:cs="Times New Roman"/>
          <w:b/>
          <w:bCs/>
        </w:rPr>
      </w:pPr>
    </w:p>
    <w:p w14:paraId="219C4C57" w14:textId="50615244" w:rsidR="005A75AF" w:rsidRPr="005A75AF" w:rsidRDefault="005A75AF" w:rsidP="005A75AF">
      <w:pPr>
        <w:rPr>
          <w:rStyle w:val="eop"/>
          <w:rFonts w:ascii="Times New Roman" w:hAnsi="Times New Roman" w:cs="Times New Roman"/>
          <w:b/>
          <w:bCs/>
        </w:rPr>
      </w:pPr>
      <w:r w:rsidRPr="005A75AF">
        <w:rPr>
          <w:rStyle w:val="normaltextrun"/>
          <w:rFonts w:ascii="Times New Roman" w:hAnsi="Times New Roman" w:cs="Times New Roman"/>
          <w:b/>
          <w:bCs/>
        </w:rPr>
        <w:t xml:space="preserve">HB 5436 </w:t>
      </w:r>
      <w:r w:rsidR="00002C82">
        <w:rPr>
          <w:rStyle w:val="normaltextrun"/>
          <w:rFonts w:ascii="Times New Roman" w:hAnsi="Times New Roman" w:cs="Times New Roman"/>
          <w:b/>
          <w:bCs/>
        </w:rPr>
        <w:t xml:space="preserve">An </w:t>
      </w:r>
      <w:r w:rsidRPr="005A75AF">
        <w:rPr>
          <w:rStyle w:val="normaltextrun"/>
          <w:rFonts w:ascii="Times New Roman" w:hAnsi="Times New Roman" w:cs="Times New Roman"/>
          <w:b/>
          <w:bCs/>
        </w:rPr>
        <w:t>Act Concerning Educator Certification</w:t>
      </w:r>
      <w:r w:rsidRPr="005A75AF">
        <w:rPr>
          <w:rStyle w:val="eop"/>
          <w:rFonts w:ascii="Times New Roman" w:hAnsi="Times New Roman" w:cs="Times New Roman"/>
          <w:b/>
          <w:bCs/>
        </w:rPr>
        <w:t> </w:t>
      </w:r>
    </w:p>
    <w:p w14:paraId="04296A8B" w14:textId="3337A7C5" w:rsidR="005A75AF" w:rsidRPr="005A75AF" w:rsidRDefault="005A75AF" w:rsidP="005A75AF">
      <w:pPr>
        <w:rPr>
          <w:rStyle w:val="eop"/>
          <w:rFonts w:ascii="Times New Roman" w:hAnsi="Times New Roman" w:cs="Times New Roman"/>
        </w:rPr>
      </w:pPr>
      <w:r w:rsidRPr="005A75AF">
        <w:rPr>
          <w:rStyle w:val="eop"/>
          <w:rFonts w:ascii="Times New Roman" w:hAnsi="Times New Roman" w:cs="Times New Roman"/>
        </w:rPr>
        <w:t>CEA supports HB 5436</w:t>
      </w:r>
      <w:r w:rsidR="00002C82">
        <w:rPr>
          <w:rStyle w:val="eop"/>
          <w:rFonts w:ascii="Times New Roman" w:hAnsi="Times New Roman" w:cs="Times New Roman"/>
        </w:rPr>
        <w:t>,</w:t>
      </w:r>
      <w:r w:rsidRPr="005A75AF">
        <w:rPr>
          <w:rStyle w:val="eop"/>
          <w:rFonts w:ascii="Times New Roman" w:hAnsi="Times New Roman" w:cs="Times New Roman"/>
        </w:rPr>
        <w:t xml:space="preserve"> and we are very excited about the progress we have made to finally, after nearly 30 years, revise our antiquated teacher certification statutes and soon our regulations.  </w:t>
      </w:r>
    </w:p>
    <w:p w14:paraId="43E90E2B" w14:textId="241AA5CF" w:rsidR="005A75AF" w:rsidRPr="005A75AF" w:rsidRDefault="005A75AF" w:rsidP="005A75AF">
      <w:pPr>
        <w:rPr>
          <w:rStyle w:val="eop"/>
          <w:rFonts w:ascii="Times New Roman" w:hAnsi="Times New Roman" w:cs="Times New Roman"/>
        </w:rPr>
      </w:pPr>
      <w:r w:rsidRPr="005A75AF">
        <w:rPr>
          <w:rStyle w:val="eop"/>
          <w:rFonts w:ascii="Times New Roman" w:hAnsi="Times New Roman" w:cs="Times New Roman"/>
        </w:rPr>
        <w:t xml:space="preserve">As a member of the Connecticut Educator Certification Council, which was convened by CSDE to address certification, I am confident that the work we did will bring significant change and improvement to the certification process. </w:t>
      </w:r>
      <w:r w:rsidR="00002C82">
        <w:rPr>
          <w:rStyle w:val="eop"/>
          <w:rFonts w:ascii="Times New Roman" w:hAnsi="Times New Roman" w:cs="Times New Roman"/>
        </w:rPr>
        <w:t xml:space="preserve"> </w:t>
      </w:r>
      <w:r w:rsidRPr="005A75AF">
        <w:rPr>
          <w:rStyle w:val="eop"/>
          <w:rFonts w:ascii="Times New Roman" w:hAnsi="Times New Roman" w:cs="Times New Roman"/>
        </w:rPr>
        <w:t>The council consisted of educators and stakeholders, including Jen Rodriguez who is also testifying today and teaches in Newington.  The Council met with the goal of modernizing our teacher certification process, making it relevant to today’s needs, and simplifying it to better recruit high</w:t>
      </w:r>
      <w:r w:rsidR="00002C82">
        <w:rPr>
          <w:rStyle w:val="eop"/>
          <w:rFonts w:ascii="Times New Roman" w:hAnsi="Times New Roman" w:cs="Times New Roman"/>
        </w:rPr>
        <w:t>ly qualified</w:t>
      </w:r>
      <w:r w:rsidRPr="005A75AF">
        <w:rPr>
          <w:rStyle w:val="eop"/>
          <w:rFonts w:ascii="Times New Roman" w:hAnsi="Times New Roman" w:cs="Times New Roman"/>
        </w:rPr>
        <w:t xml:space="preserve">, well-prepared candidates.  </w:t>
      </w:r>
    </w:p>
    <w:p w14:paraId="5D1A71C9" w14:textId="77777777" w:rsidR="005A75AF" w:rsidRPr="005A75AF" w:rsidRDefault="005A75AF" w:rsidP="005A75AF">
      <w:pPr>
        <w:rPr>
          <w:rStyle w:val="eop"/>
          <w:rFonts w:ascii="Times New Roman" w:hAnsi="Times New Roman" w:cs="Times New Roman"/>
        </w:rPr>
      </w:pPr>
    </w:p>
    <w:p w14:paraId="5ED15FE3" w14:textId="7C6DC522" w:rsidR="005A75AF" w:rsidRPr="005A75AF" w:rsidRDefault="005A75AF" w:rsidP="005A75AF">
      <w:pPr>
        <w:rPr>
          <w:rStyle w:val="eop"/>
          <w:rFonts w:ascii="Times New Roman" w:hAnsi="Times New Roman" w:cs="Times New Roman"/>
        </w:rPr>
      </w:pPr>
      <w:r w:rsidRPr="005A75AF">
        <w:rPr>
          <w:rStyle w:val="eop"/>
          <w:rFonts w:ascii="Times New Roman" w:hAnsi="Times New Roman" w:cs="Times New Roman"/>
        </w:rPr>
        <w:t xml:space="preserve">The Council discussed many issues surrounding certification in </w:t>
      </w:r>
      <w:proofErr w:type="gramStart"/>
      <w:r w:rsidRPr="005A75AF">
        <w:rPr>
          <w:rStyle w:val="eop"/>
          <w:rFonts w:ascii="Times New Roman" w:hAnsi="Times New Roman" w:cs="Times New Roman"/>
        </w:rPr>
        <w:t>great detail</w:t>
      </w:r>
      <w:proofErr w:type="gramEnd"/>
      <w:r w:rsidR="0001142B">
        <w:rPr>
          <w:rStyle w:val="eop"/>
          <w:rFonts w:ascii="Times New Roman" w:hAnsi="Times New Roman" w:cs="Times New Roman"/>
        </w:rPr>
        <w:t>,</w:t>
      </w:r>
      <w:r w:rsidRPr="005A75AF">
        <w:rPr>
          <w:rStyle w:val="eop"/>
          <w:rFonts w:ascii="Times New Roman" w:hAnsi="Times New Roman" w:cs="Times New Roman"/>
        </w:rPr>
        <w:t xml:space="preserve"> and HB 5436 includes bold first steps based on the consensus of our members.  As a result, HB 5436 proposes the creation of the Connecticut Educator Preparation and Certification Board as a semi-autonomous standards board overseeing professional certification in partnership with the State Board of Education.  Nearly half of the states in the nation have a policy-making standards board comprised of educators.</w:t>
      </w:r>
      <w:r w:rsidRPr="005A75AF">
        <w:rPr>
          <w:rStyle w:val="FootnoteReference"/>
          <w:rFonts w:ascii="Times New Roman" w:hAnsi="Times New Roman" w:cs="Times New Roman"/>
        </w:rPr>
        <w:footnoteReference w:id="1"/>
      </w:r>
      <w:r w:rsidRPr="005A75AF">
        <w:rPr>
          <w:rStyle w:val="eop"/>
          <w:rFonts w:ascii="Times New Roman" w:hAnsi="Times New Roman" w:cs="Times New Roman"/>
        </w:rPr>
        <w:t xml:space="preserve">  More than half of all professions requiring at least a bachelor’s degree have professional standards boards.</w:t>
      </w:r>
      <w:r w:rsidRPr="005A75AF">
        <w:rPr>
          <w:rStyle w:val="FootnoteReference"/>
          <w:rFonts w:ascii="Times New Roman" w:hAnsi="Times New Roman" w:cs="Times New Roman"/>
        </w:rPr>
        <w:footnoteReference w:id="2"/>
      </w:r>
      <w:r w:rsidRPr="005A75AF">
        <w:rPr>
          <w:rStyle w:val="eop"/>
          <w:rFonts w:ascii="Times New Roman" w:hAnsi="Times New Roman" w:cs="Times New Roman"/>
        </w:rPr>
        <w:t xml:space="preserve">  Creating a standards board of educators in Connecticut is long</w:t>
      </w:r>
      <w:r w:rsidR="0001142B">
        <w:rPr>
          <w:rStyle w:val="eop"/>
          <w:rFonts w:ascii="Times New Roman" w:hAnsi="Times New Roman" w:cs="Times New Roman"/>
        </w:rPr>
        <w:t xml:space="preserve"> </w:t>
      </w:r>
      <w:r w:rsidRPr="005A75AF">
        <w:rPr>
          <w:rStyle w:val="eop"/>
          <w:rFonts w:ascii="Times New Roman" w:hAnsi="Times New Roman" w:cs="Times New Roman"/>
        </w:rPr>
        <w:t xml:space="preserve">overdue and </w:t>
      </w:r>
      <w:r w:rsidR="0001142B">
        <w:rPr>
          <w:rStyle w:val="eop"/>
          <w:rFonts w:ascii="Times New Roman" w:hAnsi="Times New Roman" w:cs="Times New Roman"/>
        </w:rPr>
        <w:t xml:space="preserve">would </w:t>
      </w:r>
      <w:r w:rsidRPr="005A75AF">
        <w:rPr>
          <w:rStyle w:val="eop"/>
          <w:rFonts w:ascii="Times New Roman" w:hAnsi="Times New Roman" w:cs="Times New Roman"/>
        </w:rPr>
        <w:t>elevate the profession in the eyes of prospective teachers.  This is a profoundly important step, one that aligns Connecticut with best practices for our profession.</w:t>
      </w:r>
    </w:p>
    <w:p w14:paraId="34C70008" w14:textId="77777777" w:rsidR="005A75AF" w:rsidRPr="005A75AF" w:rsidRDefault="005A75AF" w:rsidP="005A75AF">
      <w:pPr>
        <w:rPr>
          <w:rStyle w:val="eop"/>
          <w:rFonts w:ascii="Times New Roman" w:hAnsi="Times New Roman" w:cs="Times New Roman"/>
        </w:rPr>
      </w:pPr>
    </w:p>
    <w:p w14:paraId="21586042" w14:textId="1700194B" w:rsidR="005A75AF" w:rsidRPr="005A75AF" w:rsidRDefault="005A75AF" w:rsidP="005A75AF">
      <w:pPr>
        <w:rPr>
          <w:rStyle w:val="eop"/>
          <w:rFonts w:ascii="Times New Roman" w:hAnsi="Times New Roman" w:cs="Times New Roman"/>
        </w:rPr>
      </w:pPr>
      <w:r w:rsidRPr="005A75AF">
        <w:rPr>
          <w:rStyle w:val="eop"/>
          <w:rFonts w:ascii="Times New Roman" w:hAnsi="Times New Roman" w:cs="Times New Roman"/>
        </w:rPr>
        <w:t xml:space="preserve">HB 5436 simplifies certification reciprocity across state lines to help qualified and experienced teachers </w:t>
      </w:r>
      <w:r w:rsidR="0001142B">
        <w:rPr>
          <w:rStyle w:val="eop"/>
          <w:rFonts w:ascii="Times New Roman" w:hAnsi="Times New Roman" w:cs="Times New Roman"/>
        </w:rPr>
        <w:t>from</w:t>
      </w:r>
      <w:r w:rsidRPr="005A75AF">
        <w:rPr>
          <w:rStyle w:val="eop"/>
          <w:rFonts w:ascii="Times New Roman" w:hAnsi="Times New Roman" w:cs="Times New Roman"/>
        </w:rPr>
        <w:t xml:space="preserve"> other states be able to </w:t>
      </w:r>
      <w:r w:rsidR="0001142B">
        <w:rPr>
          <w:rStyle w:val="eop"/>
          <w:rFonts w:ascii="Times New Roman" w:hAnsi="Times New Roman" w:cs="Times New Roman"/>
        </w:rPr>
        <w:t>re</w:t>
      </w:r>
      <w:r w:rsidRPr="005A75AF">
        <w:rPr>
          <w:rStyle w:val="eop"/>
          <w:rFonts w:ascii="Times New Roman" w:hAnsi="Times New Roman" w:cs="Times New Roman"/>
        </w:rPr>
        <w:t>locate and teach in Connecticut.  It does this by ending the tedious and costly process of line-by-line transcript analysis currently required to qualify for reciprocity.  Instead, experienced teachers from other states would be eligible for reciprocity if they graduated from an accredited preparation program.  This will help address teacher shortages by enabling the many, many educators who seek to teach in Connecticut to do so.  This is our first line of defense to combat the shortage facing our workforce</w:t>
      </w:r>
      <w:r w:rsidR="0001142B">
        <w:rPr>
          <w:rStyle w:val="eop"/>
          <w:rFonts w:ascii="Times New Roman" w:hAnsi="Times New Roman" w:cs="Times New Roman"/>
        </w:rPr>
        <w:t xml:space="preserve">. </w:t>
      </w:r>
      <w:r w:rsidRPr="005A75AF">
        <w:rPr>
          <w:rStyle w:val="eop"/>
          <w:rFonts w:ascii="Times New Roman" w:hAnsi="Times New Roman" w:cs="Times New Roman"/>
        </w:rPr>
        <w:t xml:space="preserve"> </w:t>
      </w:r>
      <w:r w:rsidR="0001142B">
        <w:rPr>
          <w:rStyle w:val="eop"/>
          <w:rFonts w:ascii="Times New Roman" w:hAnsi="Times New Roman" w:cs="Times New Roman"/>
        </w:rPr>
        <w:t>W</w:t>
      </w:r>
      <w:r w:rsidRPr="005A75AF">
        <w:rPr>
          <w:rStyle w:val="eop"/>
          <w:rFonts w:ascii="Times New Roman" w:hAnsi="Times New Roman" w:cs="Times New Roman"/>
        </w:rPr>
        <w:t xml:space="preserve">e welcome talented educators from across state lines. </w:t>
      </w:r>
    </w:p>
    <w:p w14:paraId="62A70553" w14:textId="77777777" w:rsidR="005A75AF" w:rsidRPr="005A75AF" w:rsidRDefault="005A75AF" w:rsidP="005A75AF">
      <w:pPr>
        <w:rPr>
          <w:rStyle w:val="eop"/>
          <w:rFonts w:ascii="Times New Roman" w:hAnsi="Times New Roman" w:cs="Times New Roman"/>
        </w:rPr>
      </w:pPr>
    </w:p>
    <w:p w14:paraId="567180D1" w14:textId="5F1ECF65" w:rsidR="005A75AF" w:rsidRPr="005A75AF" w:rsidRDefault="005A75AF" w:rsidP="005A75AF">
      <w:pPr>
        <w:rPr>
          <w:rStyle w:val="eop"/>
          <w:rFonts w:ascii="Times New Roman" w:hAnsi="Times New Roman" w:cs="Times New Roman"/>
        </w:rPr>
      </w:pPr>
      <w:r w:rsidRPr="005A75AF">
        <w:rPr>
          <w:rStyle w:val="eop"/>
          <w:rFonts w:ascii="Times New Roman" w:hAnsi="Times New Roman" w:cs="Times New Roman"/>
        </w:rPr>
        <w:t xml:space="preserve">Other provisions of the bill also provide better flexibility. </w:t>
      </w:r>
      <w:r w:rsidR="0001142B">
        <w:rPr>
          <w:rStyle w:val="eop"/>
          <w:rFonts w:ascii="Times New Roman" w:hAnsi="Times New Roman" w:cs="Times New Roman"/>
        </w:rPr>
        <w:t xml:space="preserve"> </w:t>
      </w:r>
      <w:r w:rsidRPr="005A75AF">
        <w:rPr>
          <w:rStyle w:val="eop"/>
          <w:rFonts w:ascii="Times New Roman" w:hAnsi="Times New Roman" w:cs="Times New Roman"/>
        </w:rPr>
        <w:t xml:space="preserve">With input from the Office of Early Childhood, the bill improves the connection between elementary school endorsements, kindergarten, and pre-kindergarten certification.  It also simplifies the cross-endorsement process creating more flexibility in teachers’ ability to fill vacancies and ensuring that they have </w:t>
      </w:r>
      <w:r w:rsidR="0001142B">
        <w:rPr>
          <w:rStyle w:val="eop"/>
          <w:rFonts w:ascii="Times New Roman" w:hAnsi="Times New Roman" w:cs="Times New Roman"/>
        </w:rPr>
        <w:t xml:space="preserve">the </w:t>
      </w:r>
      <w:r w:rsidRPr="005A75AF">
        <w:rPr>
          <w:rStyle w:val="eop"/>
          <w:rFonts w:ascii="Times New Roman" w:hAnsi="Times New Roman" w:cs="Times New Roman"/>
        </w:rPr>
        <w:t xml:space="preserve">content mastery to succeed. </w:t>
      </w:r>
    </w:p>
    <w:p w14:paraId="275CB212" w14:textId="77777777" w:rsidR="005A75AF" w:rsidRPr="005A75AF" w:rsidRDefault="005A75AF" w:rsidP="005A75AF">
      <w:pPr>
        <w:rPr>
          <w:rStyle w:val="eop"/>
          <w:rFonts w:ascii="Times New Roman" w:hAnsi="Times New Roman" w:cs="Times New Roman"/>
        </w:rPr>
      </w:pPr>
    </w:p>
    <w:p w14:paraId="5B67BEA5" w14:textId="06B7E88F" w:rsidR="005A75AF" w:rsidRPr="005A75AF" w:rsidRDefault="005A75AF" w:rsidP="005A75AF">
      <w:pPr>
        <w:rPr>
          <w:rStyle w:val="eop"/>
          <w:rFonts w:ascii="Times New Roman" w:hAnsi="Times New Roman" w:cs="Times New Roman"/>
        </w:rPr>
      </w:pPr>
      <w:r w:rsidRPr="005A75AF">
        <w:rPr>
          <w:rStyle w:val="eop"/>
          <w:rFonts w:ascii="Times New Roman" w:hAnsi="Times New Roman" w:cs="Times New Roman"/>
        </w:rPr>
        <w:t xml:space="preserve">Yet there is still much to do, work that must be done right and done thoughtfully.  Our work on the Council did not include any review of the voluminous regulations that govern certifications.  That is critical work that needs to be completed, and it is a task best left to the professionals who would be part of the new standards board.  Working from the directions left </w:t>
      </w:r>
      <w:r w:rsidR="0001142B">
        <w:rPr>
          <w:rStyle w:val="eop"/>
          <w:rFonts w:ascii="Times New Roman" w:hAnsi="Times New Roman" w:cs="Times New Roman"/>
        </w:rPr>
        <w:t>by</w:t>
      </w:r>
      <w:r w:rsidRPr="005A75AF">
        <w:rPr>
          <w:rStyle w:val="eop"/>
          <w:rFonts w:ascii="Times New Roman" w:hAnsi="Times New Roman" w:cs="Times New Roman"/>
        </w:rPr>
        <w:t xml:space="preserve"> the CECC, the new board </w:t>
      </w:r>
      <w:r w:rsidR="0001142B">
        <w:rPr>
          <w:rStyle w:val="eop"/>
          <w:rFonts w:ascii="Times New Roman" w:hAnsi="Times New Roman" w:cs="Times New Roman"/>
        </w:rPr>
        <w:t>would be</w:t>
      </w:r>
      <w:r w:rsidRPr="005A75AF">
        <w:rPr>
          <w:rStyle w:val="eop"/>
          <w:rFonts w:ascii="Times New Roman" w:hAnsi="Times New Roman" w:cs="Times New Roman"/>
        </w:rPr>
        <w:t xml:space="preserve"> charged with addressing appropriate assessment methods for educators and </w:t>
      </w:r>
      <w:r w:rsidR="0001142B">
        <w:rPr>
          <w:rStyle w:val="eop"/>
          <w:rFonts w:ascii="Times New Roman" w:hAnsi="Times New Roman" w:cs="Times New Roman"/>
        </w:rPr>
        <w:t>creating</w:t>
      </w:r>
      <w:r w:rsidR="0001142B" w:rsidRPr="005A75AF">
        <w:rPr>
          <w:rStyle w:val="eop"/>
          <w:rFonts w:ascii="Times New Roman" w:hAnsi="Times New Roman" w:cs="Times New Roman"/>
        </w:rPr>
        <w:t xml:space="preserve"> </w:t>
      </w:r>
      <w:r w:rsidRPr="005A75AF">
        <w:rPr>
          <w:rStyle w:val="eop"/>
          <w:rFonts w:ascii="Times New Roman" w:hAnsi="Times New Roman" w:cs="Times New Roman"/>
        </w:rPr>
        <w:t xml:space="preserve">pathways for establishing professional progress. </w:t>
      </w:r>
      <w:r w:rsidR="0001142B">
        <w:rPr>
          <w:rStyle w:val="eop"/>
          <w:rFonts w:ascii="Times New Roman" w:hAnsi="Times New Roman" w:cs="Times New Roman"/>
        </w:rPr>
        <w:t xml:space="preserve"> </w:t>
      </w:r>
      <w:r w:rsidRPr="005A75AF">
        <w:rPr>
          <w:rStyle w:val="eop"/>
          <w:rFonts w:ascii="Times New Roman" w:hAnsi="Times New Roman" w:cs="Times New Roman"/>
        </w:rPr>
        <w:t xml:space="preserve">I am confident that this review of regulations can be done with the same sense of urgency that the CECC modeled in </w:t>
      </w:r>
      <w:r w:rsidR="0001142B">
        <w:rPr>
          <w:rStyle w:val="eop"/>
          <w:rFonts w:ascii="Times New Roman" w:hAnsi="Times New Roman" w:cs="Times New Roman"/>
        </w:rPr>
        <w:t>our</w:t>
      </w:r>
      <w:r w:rsidR="0001142B" w:rsidRPr="005A75AF">
        <w:rPr>
          <w:rStyle w:val="eop"/>
          <w:rFonts w:ascii="Times New Roman" w:hAnsi="Times New Roman" w:cs="Times New Roman"/>
        </w:rPr>
        <w:t xml:space="preserve"> </w:t>
      </w:r>
      <w:r w:rsidRPr="005A75AF">
        <w:rPr>
          <w:rStyle w:val="eop"/>
          <w:rFonts w:ascii="Times New Roman" w:hAnsi="Times New Roman" w:cs="Times New Roman"/>
        </w:rPr>
        <w:t xml:space="preserve">revision of the oversight of certification. </w:t>
      </w:r>
      <w:r w:rsidR="0001142B">
        <w:rPr>
          <w:rStyle w:val="eop"/>
          <w:rFonts w:ascii="Times New Roman" w:hAnsi="Times New Roman" w:cs="Times New Roman"/>
        </w:rPr>
        <w:t xml:space="preserve"> </w:t>
      </w:r>
      <w:r w:rsidRPr="005A75AF">
        <w:rPr>
          <w:rStyle w:val="eop"/>
          <w:rFonts w:ascii="Times New Roman" w:hAnsi="Times New Roman" w:cs="Times New Roman"/>
        </w:rPr>
        <w:t xml:space="preserve">Passage of HB 5436 would mark significant progress in simplifying our certification process, setting the stage for additional needed </w:t>
      </w:r>
      <w:proofErr w:type="gramStart"/>
      <w:r w:rsidRPr="005A75AF">
        <w:rPr>
          <w:rStyle w:val="eop"/>
          <w:rFonts w:ascii="Times New Roman" w:hAnsi="Times New Roman" w:cs="Times New Roman"/>
        </w:rPr>
        <w:t>reforms</w:t>
      </w:r>
      <w:proofErr w:type="gramEnd"/>
      <w:r w:rsidRPr="005A75AF">
        <w:rPr>
          <w:rStyle w:val="eop"/>
          <w:rFonts w:ascii="Times New Roman" w:hAnsi="Times New Roman" w:cs="Times New Roman"/>
        </w:rPr>
        <w:t xml:space="preserve"> and uplifting the teaching profession to attract more qualified educators into our schools. </w:t>
      </w:r>
    </w:p>
    <w:p w14:paraId="2475A0DF" w14:textId="77777777" w:rsidR="005A75AF" w:rsidRPr="005A75AF" w:rsidRDefault="005A75AF" w:rsidP="005A75AF">
      <w:pPr>
        <w:rPr>
          <w:rStyle w:val="eop"/>
          <w:rFonts w:ascii="Times New Roman" w:hAnsi="Times New Roman" w:cs="Times New Roman"/>
        </w:rPr>
      </w:pPr>
    </w:p>
    <w:p w14:paraId="3609AF49" w14:textId="586175C9" w:rsidR="005A75AF" w:rsidRPr="005A75AF" w:rsidRDefault="005A75AF" w:rsidP="005A75AF">
      <w:pPr>
        <w:rPr>
          <w:rStyle w:val="eop"/>
          <w:rFonts w:ascii="Times New Roman" w:hAnsi="Times New Roman" w:cs="Times New Roman"/>
        </w:rPr>
      </w:pPr>
      <w:r w:rsidRPr="005A75AF">
        <w:rPr>
          <w:rStyle w:val="eop"/>
          <w:rFonts w:ascii="Times New Roman" w:hAnsi="Times New Roman" w:cs="Times New Roman"/>
        </w:rPr>
        <w:t>Thank you</w:t>
      </w:r>
      <w:r w:rsidR="0001142B">
        <w:rPr>
          <w:rStyle w:val="eop"/>
          <w:rFonts w:ascii="Times New Roman" w:hAnsi="Times New Roman" w:cs="Times New Roman"/>
        </w:rPr>
        <w:t>.</w:t>
      </w:r>
    </w:p>
    <w:p w14:paraId="2AF7A1C1" w14:textId="77777777" w:rsidR="005A75AF" w:rsidRDefault="005A75AF" w:rsidP="005A75AF">
      <w:pPr>
        <w:jc w:val="center"/>
        <w:rPr>
          <w:rStyle w:val="eop"/>
          <w:rFonts w:ascii="Calibri" w:hAnsi="Calibri" w:cs="Calibri"/>
          <w:b/>
          <w:bCs/>
          <w:sz w:val="28"/>
          <w:szCs w:val="28"/>
        </w:rPr>
      </w:pPr>
    </w:p>
    <w:p w14:paraId="57E6CA56" w14:textId="77777777" w:rsidR="005A75AF" w:rsidRDefault="005A75AF" w:rsidP="005A75AF">
      <w:pPr>
        <w:jc w:val="center"/>
        <w:rPr>
          <w:rStyle w:val="eop"/>
          <w:rFonts w:ascii="Calibri" w:hAnsi="Calibri" w:cs="Calibri"/>
          <w:b/>
          <w:bCs/>
          <w:sz w:val="28"/>
          <w:szCs w:val="28"/>
        </w:rPr>
      </w:pPr>
    </w:p>
    <w:p w14:paraId="2C965A37" w14:textId="7905359D" w:rsidR="005A75AF" w:rsidRPr="00F81F5F" w:rsidRDefault="005A75AF" w:rsidP="005A75AF">
      <w:pPr>
        <w:jc w:val="center"/>
        <w:rPr>
          <w:rStyle w:val="eop"/>
          <w:rFonts w:ascii="Calibri" w:hAnsi="Calibri" w:cs="Calibri"/>
          <w:b/>
          <w:bCs/>
          <w:sz w:val="28"/>
          <w:szCs w:val="28"/>
        </w:rPr>
      </w:pPr>
      <w:r w:rsidRPr="00F81F5F">
        <w:rPr>
          <w:rStyle w:val="eop"/>
          <w:rFonts w:ascii="Calibri" w:hAnsi="Calibri" w:cs="Calibri"/>
          <w:b/>
          <w:bCs/>
          <w:sz w:val="28"/>
          <w:szCs w:val="28"/>
        </w:rPr>
        <w:t>See Teacher Starting Salaries By-District</w:t>
      </w:r>
    </w:p>
    <w:p w14:paraId="1F0FA987" w14:textId="77777777" w:rsidR="005A75AF" w:rsidRPr="00C761A4" w:rsidRDefault="005A75AF" w:rsidP="005A75AF">
      <w:pPr>
        <w:jc w:val="center"/>
        <w:rPr>
          <w:rStyle w:val="eop"/>
          <w:rFonts w:ascii="Calibri" w:hAnsi="Calibri" w:cs="Calibri"/>
          <w:b/>
          <w:bCs/>
          <w:sz w:val="28"/>
          <w:szCs w:val="28"/>
        </w:rPr>
      </w:pPr>
      <w:r w:rsidRPr="74A45FDA">
        <w:rPr>
          <w:rStyle w:val="eop"/>
          <w:rFonts w:ascii="Calibri" w:hAnsi="Calibri" w:cs="Calibri"/>
          <w:b/>
          <w:bCs/>
          <w:sz w:val="28"/>
          <w:szCs w:val="28"/>
        </w:rPr>
        <w:t>Next Page</w:t>
      </w:r>
    </w:p>
    <w:p w14:paraId="543BFDFD" w14:textId="7A401228" w:rsidR="00AA7436" w:rsidRDefault="00AA7436" w:rsidP="00C968EA">
      <w:pPr>
        <w:rPr>
          <w:rFonts w:ascii="Times New Roman" w:eastAsia="Times New Roman" w:hAnsi="Times New Roman" w:cs="Times New Roman"/>
          <w:kern w:val="0"/>
          <w14:ligatures w14:val="none"/>
        </w:rPr>
      </w:pPr>
    </w:p>
    <w:p w14:paraId="2E350943" w14:textId="77777777" w:rsidR="005A75AF" w:rsidRDefault="005A75AF" w:rsidP="00C968EA">
      <w:pPr>
        <w:rPr>
          <w:rFonts w:ascii="Times New Roman" w:eastAsia="Times New Roman" w:hAnsi="Times New Roman" w:cs="Times New Roman"/>
          <w:kern w:val="0"/>
          <w14:ligatures w14:val="none"/>
        </w:rPr>
      </w:pPr>
    </w:p>
    <w:p w14:paraId="7ADF6569" w14:textId="77777777" w:rsidR="005A75AF" w:rsidRDefault="005A75AF" w:rsidP="00C968EA">
      <w:pPr>
        <w:rPr>
          <w:rFonts w:ascii="Times New Roman" w:eastAsia="Times New Roman" w:hAnsi="Times New Roman" w:cs="Times New Roman"/>
          <w:kern w:val="0"/>
          <w14:ligatures w14:val="none"/>
        </w:rPr>
      </w:pPr>
    </w:p>
    <w:p w14:paraId="07B4CCCC" w14:textId="77777777" w:rsidR="005A75AF" w:rsidRDefault="005A75AF" w:rsidP="00C968EA">
      <w:pPr>
        <w:rPr>
          <w:rFonts w:ascii="Times New Roman" w:eastAsia="Times New Roman" w:hAnsi="Times New Roman" w:cs="Times New Roman"/>
          <w:kern w:val="0"/>
          <w14:ligatures w14:val="none"/>
        </w:rPr>
      </w:pPr>
    </w:p>
    <w:tbl>
      <w:tblPr>
        <w:tblStyle w:val="TableGrid"/>
        <w:tblW w:w="0" w:type="auto"/>
        <w:tblInd w:w="-422" w:type="dxa"/>
        <w:tblCellMar>
          <w:top w:w="4" w:type="dxa"/>
          <w:right w:w="31" w:type="dxa"/>
        </w:tblCellMar>
        <w:tblLook w:val="04A0" w:firstRow="1" w:lastRow="0" w:firstColumn="1" w:lastColumn="0" w:noHBand="0" w:noVBand="1"/>
      </w:tblPr>
      <w:tblGrid>
        <w:gridCol w:w="1425"/>
        <w:gridCol w:w="808"/>
        <w:gridCol w:w="823"/>
        <w:gridCol w:w="807"/>
        <w:gridCol w:w="951"/>
        <w:gridCol w:w="811"/>
        <w:gridCol w:w="807"/>
        <w:gridCol w:w="823"/>
        <w:gridCol w:w="865"/>
        <w:gridCol w:w="807"/>
        <w:gridCol w:w="826"/>
      </w:tblGrid>
      <w:tr w:rsidR="005A75AF" w:rsidRPr="00EC2755" w14:paraId="75B8F09A" w14:textId="77777777" w:rsidTr="005A75AF">
        <w:trPr>
          <w:trHeight w:val="754"/>
        </w:trPr>
        <w:tc>
          <w:tcPr>
            <w:tcW w:w="0" w:type="auto"/>
            <w:tcBorders>
              <w:top w:val="single" w:sz="15" w:space="0" w:color="000000"/>
              <w:left w:val="single" w:sz="15" w:space="0" w:color="000000"/>
              <w:bottom w:val="single" w:sz="8" w:space="0" w:color="000000"/>
              <w:right w:val="single" w:sz="15" w:space="0" w:color="000000"/>
            </w:tcBorders>
            <w:shd w:val="clear" w:color="auto" w:fill="BFBFBF"/>
            <w:vAlign w:val="center"/>
          </w:tcPr>
          <w:p w14:paraId="0498A8DC" w14:textId="77777777" w:rsidR="005A75AF" w:rsidRPr="00EC2755" w:rsidRDefault="005A75AF" w:rsidP="00D50704">
            <w:pPr>
              <w:ind w:left="36"/>
              <w:rPr>
                <w:rFonts w:ascii="Calibri" w:hAnsi="Calibri" w:cs="Calibri"/>
                <w:sz w:val="20"/>
                <w:szCs w:val="20"/>
              </w:rPr>
            </w:pPr>
            <w:r w:rsidRPr="00EC2755">
              <w:rPr>
                <w:rFonts w:ascii="Calibri" w:eastAsia="Calibri" w:hAnsi="Calibri" w:cs="Calibri"/>
                <w:b/>
                <w:sz w:val="20"/>
                <w:szCs w:val="20"/>
              </w:rPr>
              <w:t>District</w:t>
            </w:r>
          </w:p>
        </w:tc>
        <w:tc>
          <w:tcPr>
            <w:tcW w:w="0" w:type="auto"/>
            <w:tcBorders>
              <w:top w:val="single" w:sz="8" w:space="0" w:color="000000"/>
              <w:left w:val="single" w:sz="15" w:space="0" w:color="000000"/>
              <w:bottom w:val="single" w:sz="15" w:space="0" w:color="000000"/>
              <w:right w:val="single" w:sz="8" w:space="0" w:color="000000"/>
            </w:tcBorders>
            <w:shd w:val="clear" w:color="auto" w:fill="BFBFBF"/>
            <w:vAlign w:val="center"/>
          </w:tcPr>
          <w:p w14:paraId="6F92AB4E" w14:textId="77777777" w:rsidR="005A75AF" w:rsidRPr="00EC2755" w:rsidRDefault="005A75AF" w:rsidP="00D50704">
            <w:pPr>
              <w:ind w:left="175"/>
              <w:rPr>
                <w:rFonts w:ascii="Calibri" w:hAnsi="Calibri" w:cs="Calibri"/>
                <w:sz w:val="20"/>
                <w:szCs w:val="20"/>
              </w:rPr>
            </w:pPr>
            <w:r w:rsidRPr="00EC2755">
              <w:rPr>
                <w:rFonts w:ascii="Calibri" w:eastAsia="Calibri" w:hAnsi="Calibri" w:cs="Calibri"/>
                <w:b/>
                <w:sz w:val="20"/>
                <w:szCs w:val="20"/>
              </w:rPr>
              <w:t>BA Step 1</w:t>
            </w:r>
          </w:p>
        </w:tc>
        <w:tc>
          <w:tcPr>
            <w:tcW w:w="0" w:type="auto"/>
            <w:tcBorders>
              <w:top w:val="single" w:sz="8" w:space="0" w:color="000000"/>
              <w:left w:val="single" w:sz="8" w:space="0" w:color="000000"/>
              <w:bottom w:val="single" w:sz="15" w:space="0" w:color="000000"/>
              <w:right w:val="single" w:sz="8" w:space="0" w:color="000000"/>
            </w:tcBorders>
            <w:shd w:val="clear" w:color="auto" w:fill="BFBFBF"/>
            <w:vAlign w:val="center"/>
          </w:tcPr>
          <w:p w14:paraId="68C2AFB1" w14:textId="77777777" w:rsidR="005A75AF" w:rsidRPr="00EC2755" w:rsidRDefault="005A75AF" w:rsidP="00D50704">
            <w:pPr>
              <w:ind w:left="175"/>
              <w:rPr>
                <w:rFonts w:ascii="Calibri" w:hAnsi="Calibri" w:cs="Calibri"/>
                <w:sz w:val="20"/>
                <w:szCs w:val="20"/>
              </w:rPr>
            </w:pPr>
            <w:r w:rsidRPr="00EC2755">
              <w:rPr>
                <w:rFonts w:ascii="Calibri" w:eastAsia="Calibri" w:hAnsi="Calibri" w:cs="Calibri"/>
                <w:b/>
                <w:sz w:val="20"/>
                <w:szCs w:val="20"/>
              </w:rPr>
              <w:t>BA Step 2</w:t>
            </w:r>
          </w:p>
        </w:tc>
        <w:tc>
          <w:tcPr>
            <w:tcW w:w="0" w:type="auto"/>
            <w:tcBorders>
              <w:top w:val="single" w:sz="8" w:space="0" w:color="000000"/>
              <w:left w:val="single" w:sz="8" w:space="0" w:color="000000"/>
              <w:bottom w:val="single" w:sz="15" w:space="0" w:color="000000"/>
              <w:right w:val="single" w:sz="8" w:space="0" w:color="000000"/>
            </w:tcBorders>
            <w:shd w:val="clear" w:color="auto" w:fill="BFBFBF"/>
            <w:vAlign w:val="center"/>
          </w:tcPr>
          <w:p w14:paraId="0FDB09EC" w14:textId="77777777" w:rsidR="005A75AF" w:rsidRPr="00EC2755" w:rsidRDefault="005A75AF" w:rsidP="00D50704">
            <w:pPr>
              <w:ind w:left="175"/>
              <w:rPr>
                <w:rFonts w:ascii="Calibri" w:hAnsi="Calibri" w:cs="Calibri"/>
                <w:sz w:val="20"/>
                <w:szCs w:val="20"/>
              </w:rPr>
            </w:pPr>
            <w:r w:rsidRPr="00EC2755">
              <w:rPr>
                <w:rFonts w:ascii="Calibri" w:eastAsia="Calibri" w:hAnsi="Calibri" w:cs="Calibri"/>
                <w:b/>
                <w:sz w:val="20"/>
                <w:szCs w:val="20"/>
              </w:rPr>
              <w:t>BA Step 3</w:t>
            </w:r>
          </w:p>
        </w:tc>
        <w:tc>
          <w:tcPr>
            <w:tcW w:w="0" w:type="auto"/>
            <w:tcBorders>
              <w:top w:val="single" w:sz="8" w:space="0" w:color="000000"/>
              <w:left w:val="single" w:sz="8" w:space="0" w:color="000000"/>
              <w:bottom w:val="single" w:sz="15" w:space="0" w:color="000000"/>
              <w:right w:val="single" w:sz="8" w:space="0" w:color="000000"/>
            </w:tcBorders>
            <w:shd w:val="clear" w:color="auto" w:fill="BFBFBF"/>
            <w:vAlign w:val="center"/>
          </w:tcPr>
          <w:p w14:paraId="6118566F" w14:textId="77777777" w:rsidR="005A75AF" w:rsidRPr="00EC2755" w:rsidRDefault="005A75AF" w:rsidP="00D50704">
            <w:pPr>
              <w:ind w:left="175"/>
              <w:rPr>
                <w:rFonts w:ascii="Calibri" w:hAnsi="Calibri" w:cs="Calibri"/>
                <w:sz w:val="20"/>
                <w:szCs w:val="20"/>
              </w:rPr>
            </w:pPr>
            <w:r w:rsidRPr="00EC2755">
              <w:rPr>
                <w:rFonts w:ascii="Calibri" w:eastAsia="Calibri" w:hAnsi="Calibri" w:cs="Calibri"/>
                <w:b/>
                <w:sz w:val="20"/>
                <w:szCs w:val="20"/>
              </w:rPr>
              <w:t>BA Step 4</w:t>
            </w:r>
          </w:p>
        </w:tc>
        <w:tc>
          <w:tcPr>
            <w:tcW w:w="0" w:type="auto"/>
            <w:tcBorders>
              <w:top w:val="single" w:sz="8" w:space="0" w:color="000000"/>
              <w:left w:val="single" w:sz="8" w:space="0" w:color="000000"/>
              <w:bottom w:val="single" w:sz="15" w:space="0" w:color="000000"/>
              <w:right w:val="single" w:sz="8" w:space="0" w:color="000000"/>
            </w:tcBorders>
            <w:shd w:val="clear" w:color="auto" w:fill="BFBFBF"/>
            <w:vAlign w:val="center"/>
          </w:tcPr>
          <w:p w14:paraId="7DB8C6E6" w14:textId="77777777" w:rsidR="005A75AF" w:rsidRPr="00EC2755" w:rsidRDefault="005A75AF" w:rsidP="00D50704">
            <w:pPr>
              <w:ind w:left="34"/>
              <w:jc w:val="center"/>
              <w:rPr>
                <w:rFonts w:ascii="Calibri" w:hAnsi="Calibri" w:cs="Calibri"/>
                <w:sz w:val="20"/>
                <w:szCs w:val="20"/>
              </w:rPr>
            </w:pPr>
            <w:r w:rsidRPr="00EC2755">
              <w:rPr>
                <w:rFonts w:ascii="Calibri" w:eastAsia="Calibri" w:hAnsi="Calibri" w:cs="Calibri"/>
                <w:b/>
                <w:sz w:val="20"/>
                <w:szCs w:val="20"/>
              </w:rPr>
              <w:t>BA Step 5</w:t>
            </w:r>
          </w:p>
        </w:tc>
        <w:tc>
          <w:tcPr>
            <w:tcW w:w="0" w:type="auto"/>
            <w:tcBorders>
              <w:top w:val="single" w:sz="8" w:space="0" w:color="000000"/>
              <w:left w:val="single" w:sz="8" w:space="0" w:color="000000"/>
              <w:bottom w:val="single" w:sz="15" w:space="0" w:color="000000"/>
              <w:right w:val="single" w:sz="8" w:space="0" w:color="000000"/>
            </w:tcBorders>
            <w:shd w:val="clear" w:color="auto" w:fill="BFBFBF"/>
            <w:vAlign w:val="center"/>
          </w:tcPr>
          <w:p w14:paraId="34B358F2" w14:textId="77777777" w:rsidR="005A75AF" w:rsidRPr="00EC2755" w:rsidRDefault="005A75AF" w:rsidP="00D50704">
            <w:pPr>
              <w:ind w:left="175"/>
              <w:rPr>
                <w:rFonts w:ascii="Calibri" w:hAnsi="Calibri" w:cs="Calibri"/>
                <w:sz w:val="20"/>
                <w:szCs w:val="20"/>
              </w:rPr>
            </w:pPr>
            <w:r w:rsidRPr="00EC2755">
              <w:rPr>
                <w:rFonts w:ascii="Calibri" w:eastAsia="Calibri" w:hAnsi="Calibri" w:cs="Calibri"/>
                <w:b/>
                <w:sz w:val="20"/>
                <w:szCs w:val="20"/>
              </w:rPr>
              <w:t>BA Step 6</w:t>
            </w:r>
          </w:p>
        </w:tc>
        <w:tc>
          <w:tcPr>
            <w:tcW w:w="0" w:type="auto"/>
            <w:tcBorders>
              <w:top w:val="single" w:sz="8" w:space="0" w:color="000000"/>
              <w:left w:val="single" w:sz="8" w:space="0" w:color="000000"/>
              <w:bottom w:val="single" w:sz="15" w:space="0" w:color="000000"/>
              <w:right w:val="single" w:sz="8" w:space="0" w:color="000000"/>
            </w:tcBorders>
            <w:shd w:val="clear" w:color="auto" w:fill="BFBFBF"/>
            <w:vAlign w:val="center"/>
          </w:tcPr>
          <w:p w14:paraId="5F680B43" w14:textId="77777777" w:rsidR="005A75AF" w:rsidRPr="00EC2755" w:rsidRDefault="005A75AF" w:rsidP="00D50704">
            <w:pPr>
              <w:ind w:left="175"/>
              <w:rPr>
                <w:rFonts w:ascii="Calibri" w:hAnsi="Calibri" w:cs="Calibri"/>
                <w:sz w:val="20"/>
                <w:szCs w:val="20"/>
              </w:rPr>
            </w:pPr>
            <w:r w:rsidRPr="00EC2755">
              <w:rPr>
                <w:rFonts w:ascii="Calibri" w:eastAsia="Calibri" w:hAnsi="Calibri" w:cs="Calibri"/>
                <w:b/>
                <w:sz w:val="20"/>
                <w:szCs w:val="20"/>
              </w:rPr>
              <w:t>BA Step 7</w:t>
            </w:r>
          </w:p>
        </w:tc>
        <w:tc>
          <w:tcPr>
            <w:tcW w:w="0" w:type="auto"/>
            <w:tcBorders>
              <w:top w:val="single" w:sz="8" w:space="0" w:color="000000"/>
              <w:left w:val="single" w:sz="8" w:space="0" w:color="000000"/>
              <w:bottom w:val="single" w:sz="15" w:space="0" w:color="000000"/>
              <w:right w:val="single" w:sz="8" w:space="0" w:color="000000"/>
            </w:tcBorders>
            <w:shd w:val="clear" w:color="auto" w:fill="BFBFBF"/>
            <w:vAlign w:val="center"/>
          </w:tcPr>
          <w:p w14:paraId="3584F0E4" w14:textId="77777777" w:rsidR="005A75AF" w:rsidRPr="00EC2755" w:rsidRDefault="005A75AF" w:rsidP="00D50704">
            <w:pPr>
              <w:ind w:left="175"/>
              <w:rPr>
                <w:rFonts w:ascii="Calibri" w:hAnsi="Calibri" w:cs="Calibri"/>
                <w:sz w:val="20"/>
                <w:szCs w:val="20"/>
              </w:rPr>
            </w:pPr>
            <w:r w:rsidRPr="00EC2755">
              <w:rPr>
                <w:rFonts w:ascii="Calibri" w:eastAsia="Calibri" w:hAnsi="Calibri" w:cs="Calibri"/>
                <w:b/>
                <w:sz w:val="20"/>
                <w:szCs w:val="20"/>
              </w:rPr>
              <w:t>BA Step 8</w:t>
            </w:r>
          </w:p>
        </w:tc>
        <w:tc>
          <w:tcPr>
            <w:tcW w:w="0" w:type="auto"/>
            <w:tcBorders>
              <w:top w:val="single" w:sz="8" w:space="0" w:color="000000"/>
              <w:left w:val="single" w:sz="8" w:space="0" w:color="000000"/>
              <w:bottom w:val="single" w:sz="15" w:space="0" w:color="000000"/>
              <w:right w:val="single" w:sz="8" w:space="0" w:color="000000"/>
            </w:tcBorders>
            <w:shd w:val="clear" w:color="auto" w:fill="BFBFBF"/>
            <w:vAlign w:val="center"/>
          </w:tcPr>
          <w:p w14:paraId="481A35B7" w14:textId="77777777" w:rsidR="005A75AF" w:rsidRPr="00EC2755" w:rsidRDefault="005A75AF" w:rsidP="00D50704">
            <w:pPr>
              <w:ind w:left="175"/>
              <w:rPr>
                <w:rFonts w:ascii="Calibri" w:hAnsi="Calibri" w:cs="Calibri"/>
                <w:sz w:val="20"/>
                <w:szCs w:val="20"/>
              </w:rPr>
            </w:pPr>
            <w:r w:rsidRPr="00EC2755">
              <w:rPr>
                <w:rFonts w:ascii="Calibri" w:eastAsia="Calibri" w:hAnsi="Calibri" w:cs="Calibri"/>
                <w:b/>
                <w:sz w:val="20"/>
                <w:szCs w:val="20"/>
              </w:rPr>
              <w:t>BA Step 9</w:t>
            </w:r>
          </w:p>
        </w:tc>
        <w:tc>
          <w:tcPr>
            <w:tcW w:w="0" w:type="auto"/>
            <w:tcBorders>
              <w:top w:val="single" w:sz="8" w:space="0" w:color="000000"/>
              <w:left w:val="single" w:sz="8" w:space="0" w:color="000000"/>
              <w:bottom w:val="single" w:sz="15" w:space="0" w:color="000000"/>
              <w:right w:val="single" w:sz="8" w:space="0" w:color="000000"/>
            </w:tcBorders>
            <w:shd w:val="clear" w:color="auto" w:fill="BFBFBF"/>
            <w:vAlign w:val="center"/>
          </w:tcPr>
          <w:p w14:paraId="308B93FC" w14:textId="77777777" w:rsidR="005A75AF" w:rsidRPr="00EC2755" w:rsidRDefault="005A75AF" w:rsidP="00D50704">
            <w:pPr>
              <w:ind w:left="125"/>
              <w:rPr>
                <w:rFonts w:ascii="Calibri" w:hAnsi="Calibri" w:cs="Calibri"/>
                <w:sz w:val="20"/>
                <w:szCs w:val="20"/>
              </w:rPr>
            </w:pPr>
            <w:r w:rsidRPr="00EC2755">
              <w:rPr>
                <w:rFonts w:ascii="Calibri" w:eastAsia="Calibri" w:hAnsi="Calibri" w:cs="Calibri"/>
                <w:b/>
                <w:sz w:val="20"/>
                <w:szCs w:val="20"/>
              </w:rPr>
              <w:t>BA Step 10</w:t>
            </w:r>
          </w:p>
        </w:tc>
      </w:tr>
      <w:tr w:rsidR="005A75AF" w:rsidRPr="00EC2755" w14:paraId="30555BDA" w14:textId="77777777" w:rsidTr="005A75AF">
        <w:trPr>
          <w:trHeight w:val="245"/>
        </w:trPr>
        <w:tc>
          <w:tcPr>
            <w:tcW w:w="0" w:type="auto"/>
            <w:tcBorders>
              <w:top w:val="single" w:sz="8" w:space="0" w:color="000000"/>
              <w:left w:val="single" w:sz="15" w:space="0" w:color="000000"/>
              <w:bottom w:val="single" w:sz="15" w:space="0" w:color="000000"/>
              <w:right w:val="single" w:sz="15" w:space="0" w:color="000000"/>
            </w:tcBorders>
            <w:shd w:val="clear" w:color="auto" w:fill="FFFFFF"/>
            <w:vAlign w:val="center"/>
          </w:tcPr>
          <w:p w14:paraId="52F33DC7" w14:textId="77777777" w:rsidR="005A75AF" w:rsidRPr="00EC2755" w:rsidRDefault="005A75AF" w:rsidP="00D50704">
            <w:pPr>
              <w:ind w:right="3"/>
              <w:jc w:val="right"/>
              <w:rPr>
                <w:rFonts w:ascii="Calibri" w:hAnsi="Calibri" w:cs="Calibri"/>
                <w:sz w:val="20"/>
                <w:szCs w:val="20"/>
              </w:rPr>
            </w:pPr>
            <w:r w:rsidRPr="00EC2755">
              <w:rPr>
                <w:rFonts w:ascii="Calibri" w:eastAsia="Calibri" w:hAnsi="Calibri" w:cs="Calibri"/>
                <w:b/>
                <w:sz w:val="20"/>
                <w:szCs w:val="20"/>
              </w:rPr>
              <w:t>Color Code</w:t>
            </w:r>
            <w:r>
              <w:rPr>
                <w:rFonts w:ascii="Calibri" w:eastAsia="Calibri" w:hAnsi="Calibri" w:cs="Calibri"/>
                <w:b/>
                <w:sz w:val="20"/>
                <w:szCs w:val="20"/>
              </w:rPr>
              <w:t xml:space="preserve"> </w:t>
            </w:r>
          </w:p>
        </w:tc>
        <w:tc>
          <w:tcPr>
            <w:tcW w:w="0" w:type="auto"/>
            <w:tcBorders>
              <w:top w:val="single" w:sz="15" w:space="0" w:color="000000"/>
              <w:left w:val="single" w:sz="15" w:space="0" w:color="000000"/>
              <w:bottom w:val="single" w:sz="15" w:space="0" w:color="000000"/>
              <w:right w:val="nil"/>
            </w:tcBorders>
            <w:shd w:val="clear" w:color="auto" w:fill="FF0000"/>
            <w:vAlign w:val="center"/>
          </w:tcPr>
          <w:p w14:paraId="5895E29E" w14:textId="77777777" w:rsidR="005A75AF" w:rsidRPr="00EC2755" w:rsidRDefault="005A75AF" w:rsidP="00D50704">
            <w:pPr>
              <w:spacing w:after="160"/>
              <w:rPr>
                <w:rFonts w:ascii="Calibri" w:hAnsi="Calibri" w:cs="Calibri"/>
                <w:sz w:val="20"/>
                <w:szCs w:val="20"/>
              </w:rPr>
            </w:pPr>
          </w:p>
        </w:tc>
        <w:tc>
          <w:tcPr>
            <w:tcW w:w="0" w:type="auto"/>
            <w:tcBorders>
              <w:top w:val="single" w:sz="15" w:space="0" w:color="000000"/>
              <w:left w:val="nil"/>
              <w:bottom w:val="single" w:sz="15" w:space="0" w:color="000000"/>
              <w:right w:val="single" w:sz="15" w:space="0" w:color="000000"/>
            </w:tcBorders>
            <w:vAlign w:val="center"/>
          </w:tcPr>
          <w:p w14:paraId="0923B3C0" w14:textId="77777777" w:rsidR="005A75AF" w:rsidRPr="00EC2755" w:rsidRDefault="005A75AF" w:rsidP="00D50704">
            <w:pPr>
              <w:ind w:left="34"/>
              <w:rPr>
                <w:rFonts w:ascii="Calibri" w:hAnsi="Calibri" w:cs="Calibri"/>
                <w:b/>
                <w:bCs/>
                <w:sz w:val="20"/>
                <w:szCs w:val="20"/>
              </w:rPr>
            </w:pPr>
            <w:r w:rsidRPr="00EC2755">
              <w:rPr>
                <w:rFonts w:ascii="Calibri" w:hAnsi="Calibri" w:cs="Calibri"/>
                <w:b/>
                <w:bCs/>
                <w:sz w:val="20"/>
                <w:szCs w:val="20"/>
              </w:rPr>
              <w:t>&lt; $60,000</w:t>
            </w:r>
          </w:p>
        </w:tc>
        <w:tc>
          <w:tcPr>
            <w:tcW w:w="0" w:type="auto"/>
            <w:tcBorders>
              <w:top w:val="single" w:sz="15" w:space="0" w:color="000000"/>
              <w:left w:val="single" w:sz="15" w:space="0" w:color="000000"/>
              <w:bottom w:val="single" w:sz="15" w:space="0" w:color="000000"/>
              <w:right w:val="nil"/>
            </w:tcBorders>
            <w:shd w:val="clear" w:color="auto" w:fill="FFFF00"/>
            <w:vAlign w:val="center"/>
          </w:tcPr>
          <w:p w14:paraId="39B372E4" w14:textId="77777777" w:rsidR="005A75AF" w:rsidRPr="00EC2755" w:rsidRDefault="005A75AF" w:rsidP="00D50704">
            <w:pPr>
              <w:spacing w:after="160"/>
              <w:rPr>
                <w:rFonts w:ascii="Calibri" w:hAnsi="Calibri" w:cs="Calibri"/>
                <w:sz w:val="20"/>
                <w:szCs w:val="20"/>
              </w:rPr>
            </w:pPr>
          </w:p>
        </w:tc>
        <w:tc>
          <w:tcPr>
            <w:tcW w:w="0" w:type="auto"/>
            <w:tcBorders>
              <w:top w:val="single" w:sz="15" w:space="0" w:color="000000"/>
              <w:left w:val="nil"/>
              <w:bottom w:val="single" w:sz="15" w:space="0" w:color="000000"/>
              <w:right w:val="nil"/>
            </w:tcBorders>
            <w:vAlign w:val="center"/>
          </w:tcPr>
          <w:p w14:paraId="344B59C3" w14:textId="77777777" w:rsidR="005A75AF" w:rsidRPr="00EC2755" w:rsidRDefault="005A75AF" w:rsidP="00D50704">
            <w:pPr>
              <w:ind w:left="34"/>
              <w:jc w:val="both"/>
              <w:rPr>
                <w:rFonts w:ascii="Calibri" w:hAnsi="Calibri" w:cs="Calibri"/>
                <w:b/>
                <w:bCs/>
                <w:sz w:val="20"/>
                <w:szCs w:val="20"/>
              </w:rPr>
            </w:pPr>
            <w:r w:rsidRPr="00EC2755">
              <w:rPr>
                <w:rFonts w:ascii="Calibri" w:hAnsi="Calibri" w:cs="Calibri"/>
                <w:b/>
                <w:bCs/>
                <w:sz w:val="20"/>
                <w:szCs w:val="20"/>
              </w:rPr>
              <w:t xml:space="preserve">&gt;=$60,000 </w:t>
            </w:r>
          </w:p>
        </w:tc>
        <w:tc>
          <w:tcPr>
            <w:tcW w:w="0" w:type="auto"/>
            <w:tcBorders>
              <w:top w:val="single" w:sz="15" w:space="0" w:color="000000"/>
              <w:left w:val="nil"/>
              <w:bottom w:val="single" w:sz="15" w:space="0" w:color="000000"/>
              <w:right w:val="single" w:sz="15" w:space="0" w:color="000000"/>
            </w:tcBorders>
            <w:shd w:val="clear" w:color="auto" w:fill="FFFFFF"/>
            <w:vAlign w:val="center"/>
          </w:tcPr>
          <w:p w14:paraId="49BF6BE0" w14:textId="77777777" w:rsidR="005A75AF" w:rsidRPr="00EC2755" w:rsidRDefault="005A75AF" w:rsidP="00D50704">
            <w:pPr>
              <w:ind w:left="-79"/>
              <w:rPr>
                <w:rFonts w:ascii="Calibri" w:hAnsi="Calibri" w:cs="Calibri"/>
                <w:b/>
                <w:bCs/>
                <w:sz w:val="20"/>
                <w:szCs w:val="20"/>
              </w:rPr>
            </w:pPr>
            <w:r w:rsidRPr="00EC2755">
              <w:rPr>
                <w:rFonts w:ascii="Calibri" w:hAnsi="Calibri" w:cs="Calibri"/>
                <w:b/>
                <w:bCs/>
                <w:sz w:val="20"/>
                <w:szCs w:val="20"/>
              </w:rPr>
              <w:t>d &lt; $66,430</w:t>
            </w:r>
          </w:p>
        </w:tc>
        <w:tc>
          <w:tcPr>
            <w:tcW w:w="0" w:type="auto"/>
            <w:tcBorders>
              <w:top w:val="single" w:sz="15" w:space="0" w:color="000000"/>
              <w:left w:val="single" w:sz="15" w:space="0" w:color="000000"/>
              <w:bottom w:val="single" w:sz="15" w:space="0" w:color="000000"/>
              <w:right w:val="nil"/>
            </w:tcBorders>
            <w:shd w:val="clear" w:color="auto" w:fill="92D050"/>
            <w:vAlign w:val="center"/>
          </w:tcPr>
          <w:p w14:paraId="4F9A48A4" w14:textId="77777777" w:rsidR="005A75AF" w:rsidRPr="00EC2755" w:rsidRDefault="005A75AF" w:rsidP="00D50704">
            <w:pPr>
              <w:spacing w:after="160"/>
              <w:rPr>
                <w:rFonts w:ascii="Calibri" w:hAnsi="Calibri" w:cs="Calibri"/>
                <w:sz w:val="20"/>
                <w:szCs w:val="20"/>
              </w:rPr>
            </w:pPr>
          </w:p>
        </w:tc>
        <w:tc>
          <w:tcPr>
            <w:tcW w:w="0" w:type="auto"/>
            <w:tcBorders>
              <w:top w:val="single" w:sz="15" w:space="0" w:color="000000"/>
              <w:left w:val="nil"/>
              <w:bottom w:val="single" w:sz="15" w:space="0" w:color="000000"/>
              <w:right w:val="nil"/>
            </w:tcBorders>
            <w:vAlign w:val="center"/>
          </w:tcPr>
          <w:p w14:paraId="6CE1945E" w14:textId="77777777" w:rsidR="005A75AF" w:rsidRPr="00EC2755" w:rsidRDefault="005A75AF" w:rsidP="00D50704">
            <w:pPr>
              <w:ind w:left="34"/>
              <w:rPr>
                <w:rFonts w:ascii="Calibri" w:hAnsi="Calibri" w:cs="Calibri"/>
                <w:b/>
                <w:bCs/>
                <w:sz w:val="20"/>
                <w:szCs w:val="20"/>
              </w:rPr>
            </w:pPr>
            <w:r w:rsidRPr="00EC2755">
              <w:rPr>
                <w:rFonts w:ascii="Calibri" w:hAnsi="Calibri" w:cs="Calibri"/>
                <w:b/>
                <w:bCs/>
                <w:sz w:val="20"/>
                <w:szCs w:val="20"/>
              </w:rPr>
              <w:t>&gt;= $66,430</w:t>
            </w:r>
          </w:p>
        </w:tc>
        <w:tc>
          <w:tcPr>
            <w:tcW w:w="0" w:type="auto"/>
            <w:tcBorders>
              <w:top w:val="single" w:sz="15" w:space="0" w:color="000000"/>
              <w:left w:val="nil"/>
              <w:bottom w:val="single" w:sz="15" w:space="0" w:color="000000"/>
              <w:right w:val="nil"/>
            </w:tcBorders>
            <w:shd w:val="clear" w:color="auto" w:fill="FFFFFF"/>
            <w:vAlign w:val="center"/>
          </w:tcPr>
          <w:p w14:paraId="2505BD5B" w14:textId="77777777" w:rsidR="005A75AF" w:rsidRPr="00EC2755" w:rsidRDefault="005A75AF" w:rsidP="00D50704">
            <w:pPr>
              <w:ind w:left="36"/>
              <w:jc w:val="both"/>
              <w:rPr>
                <w:rFonts w:ascii="Calibri" w:hAnsi="Calibri" w:cs="Calibri"/>
                <w:b/>
                <w:bCs/>
                <w:sz w:val="20"/>
                <w:szCs w:val="20"/>
              </w:rPr>
            </w:pPr>
            <w:r w:rsidRPr="00EC2755">
              <w:rPr>
                <w:rFonts w:ascii="Calibri" w:hAnsi="Calibri" w:cs="Calibri"/>
                <w:b/>
                <w:bCs/>
                <w:sz w:val="20"/>
                <w:szCs w:val="20"/>
              </w:rPr>
              <w:t xml:space="preserve"> = 3.25x 2024</w:t>
            </w:r>
          </w:p>
        </w:tc>
        <w:tc>
          <w:tcPr>
            <w:tcW w:w="0" w:type="auto"/>
            <w:gridSpan w:val="2"/>
            <w:tcBorders>
              <w:top w:val="single" w:sz="15" w:space="0" w:color="000000"/>
              <w:left w:val="nil"/>
              <w:bottom w:val="single" w:sz="15" w:space="0" w:color="000000"/>
              <w:right w:val="single" w:sz="15" w:space="0" w:color="000000"/>
            </w:tcBorders>
            <w:vAlign w:val="center"/>
          </w:tcPr>
          <w:p w14:paraId="683E126A" w14:textId="77777777" w:rsidR="005A75AF" w:rsidRPr="00EC2755" w:rsidRDefault="005A75AF" w:rsidP="00D50704">
            <w:pPr>
              <w:ind w:left="-31"/>
              <w:rPr>
                <w:rFonts w:ascii="Calibri" w:hAnsi="Calibri" w:cs="Calibri"/>
                <w:b/>
                <w:bCs/>
                <w:sz w:val="20"/>
                <w:szCs w:val="20"/>
              </w:rPr>
            </w:pPr>
            <w:r w:rsidRPr="00EC2755">
              <w:rPr>
                <w:rFonts w:ascii="Calibri" w:hAnsi="Calibri" w:cs="Calibri"/>
                <w:b/>
                <w:bCs/>
                <w:sz w:val="20"/>
                <w:szCs w:val="20"/>
              </w:rPr>
              <w:t xml:space="preserve"> FPL Fam of 2</w:t>
            </w:r>
          </w:p>
        </w:tc>
      </w:tr>
      <w:tr w:rsidR="005A75AF" w:rsidRPr="00EC2755" w14:paraId="77E8F344" w14:textId="77777777" w:rsidTr="005A75AF">
        <w:trPr>
          <w:trHeight w:val="245"/>
        </w:trPr>
        <w:tc>
          <w:tcPr>
            <w:tcW w:w="0" w:type="auto"/>
            <w:tcBorders>
              <w:top w:val="single" w:sz="8" w:space="0" w:color="000000"/>
              <w:left w:val="single" w:sz="15" w:space="0" w:color="000000"/>
              <w:bottom w:val="single" w:sz="15" w:space="0" w:color="000000"/>
              <w:right w:val="single" w:sz="15" w:space="0" w:color="000000"/>
            </w:tcBorders>
            <w:shd w:val="clear" w:color="auto" w:fill="F2F2F2" w:themeFill="background1" w:themeFillShade="F2"/>
          </w:tcPr>
          <w:p w14:paraId="55B190E3" w14:textId="77777777" w:rsidR="005A75AF" w:rsidRPr="00EC2755" w:rsidRDefault="005A75AF" w:rsidP="00D50704">
            <w:pPr>
              <w:ind w:right="3"/>
              <w:jc w:val="right"/>
              <w:rPr>
                <w:rFonts w:ascii="Calibri" w:eastAsia="Calibri" w:hAnsi="Calibri" w:cs="Calibri"/>
                <w:b/>
                <w:sz w:val="20"/>
                <w:szCs w:val="20"/>
              </w:rPr>
            </w:pPr>
          </w:p>
        </w:tc>
        <w:tc>
          <w:tcPr>
            <w:tcW w:w="0" w:type="auto"/>
            <w:tcBorders>
              <w:top w:val="single" w:sz="15" w:space="0" w:color="000000"/>
              <w:left w:val="single" w:sz="15" w:space="0" w:color="000000"/>
              <w:bottom w:val="single" w:sz="15" w:space="0" w:color="000000"/>
              <w:right w:val="nil"/>
            </w:tcBorders>
            <w:shd w:val="clear" w:color="auto" w:fill="F2F2F2" w:themeFill="background1" w:themeFillShade="F2"/>
          </w:tcPr>
          <w:p w14:paraId="18103460" w14:textId="77777777" w:rsidR="005A75AF" w:rsidRPr="00EC2755" w:rsidRDefault="005A75AF" w:rsidP="00D50704">
            <w:pPr>
              <w:rPr>
                <w:rFonts w:ascii="Calibri" w:hAnsi="Calibri" w:cs="Calibri"/>
                <w:sz w:val="20"/>
                <w:szCs w:val="20"/>
              </w:rPr>
            </w:pPr>
          </w:p>
        </w:tc>
        <w:tc>
          <w:tcPr>
            <w:tcW w:w="0" w:type="auto"/>
            <w:tcBorders>
              <w:top w:val="single" w:sz="15" w:space="0" w:color="000000"/>
              <w:left w:val="nil"/>
              <w:bottom w:val="single" w:sz="15" w:space="0" w:color="000000"/>
              <w:right w:val="single" w:sz="15" w:space="0" w:color="000000"/>
            </w:tcBorders>
            <w:shd w:val="clear" w:color="auto" w:fill="F2F2F2" w:themeFill="background1" w:themeFillShade="F2"/>
          </w:tcPr>
          <w:p w14:paraId="40B60D88" w14:textId="77777777" w:rsidR="005A75AF" w:rsidRPr="00EC2755" w:rsidRDefault="005A75AF" w:rsidP="00D50704">
            <w:pPr>
              <w:ind w:left="34"/>
              <w:rPr>
                <w:rFonts w:ascii="Calibri" w:hAnsi="Calibri" w:cs="Calibri"/>
                <w:sz w:val="20"/>
                <w:szCs w:val="20"/>
              </w:rPr>
            </w:pPr>
          </w:p>
        </w:tc>
        <w:tc>
          <w:tcPr>
            <w:tcW w:w="0" w:type="auto"/>
            <w:tcBorders>
              <w:top w:val="single" w:sz="15" w:space="0" w:color="000000"/>
              <w:left w:val="single" w:sz="15" w:space="0" w:color="000000"/>
              <w:bottom w:val="single" w:sz="15" w:space="0" w:color="000000"/>
              <w:right w:val="nil"/>
            </w:tcBorders>
            <w:shd w:val="clear" w:color="auto" w:fill="F2F2F2" w:themeFill="background1" w:themeFillShade="F2"/>
          </w:tcPr>
          <w:p w14:paraId="2331FF43" w14:textId="77777777" w:rsidR="005A75AF" w:rsidRPr="00EC2755" w:rsidRDefault="005A75AF" w:rsidP="00D50704">
            <w:pPr>
              <w:rPr>
                <w:rFonts w:ascii="Calibri" w:hAnsi="Calibri" w:cs="Calibri"/>
                <w:sz w:val="20"/>
                <w:szCs w:val="20"/>
              </w:rPr>
            </w:pPr>
          </w:p>
        </w:tc>
        <w:tc>
          <w:tcPr>
            <w:tcW w:w="0" w:type="auto"/>
            <w:tcBorders>
              <w:top w:val="single" w:sz="15" w:space="0" w:color="000000"/>
              <w:left w:val="nil"/>
              <w:bottom w:val="single" w:sz="15" w:space="0" w:color="000000"/>
              <w:right w:val="nil"/>
            </w:tcBorders>
            <w:shd w:val="clear" w:color="auto" w:fill="F2F2F2" w:themeFill="background1" w:themeFillShade="F2"/>
          </w:tcPr>
          <w:p w14:paraId="501A738C" w14:textId="77777777" w:rsidR="005A75AF" w:rsidRPr="00EC2755" w:rsidRDefault="005A75AF" w:rsidP="00D50704">
            <w:pPr>
              <w:ind w:left="34"/>
              <w:jc w:val="both"/>
              <w:rPr>
                <w:rFonts w:ascii="Calibri" w:hAnsi="Calibri" w:cs="Calibri"/>
                <w:sz w:val="20"/>
                <w:szCs w:val="20"/>
              </w:rPr>
            </w:pPr>
          </w:p>
        </w:tc>
        <w:tc>
          <w:tcPr>
            <w:tcW w:w="0" w:type="auto"/>
            <w:tcBorders>
              <w:top w:val="single" w:sz="15" w:space="0" w:color="000000"/>
              <w:left w:val="nil"/>
              <w:bottom w:val="single" w:sz="15" w:space="0" w:color="000000"/>
              <w:right w:val="single" w:sz="15" w:space="0" w:color="000000"/>
            </w:tcBorders>
            <w:shd w:val="clear" w:color="auto" w:fill="F2F2F2" w:themeFill="background1" w:themeFillShade="F2"/>
          </w:tcPr>
          <w:p w14:paraId="21CFA345" w14:textId="77777777" w:rsidR="005A75AF" w:rsidRPr="00EC2755" w:rsidRDefault="005A75AF" w:rsidP="00D50704">
            <w:pPr>
              <w:ind w:left="-79"/>
              <w:rPr>
                <w:rFonts w:ascii="Calibri" w:hAnsi="Calibri" w:cs="Calibri"/>
                <w:sz w:val="20"/>
                <w:szCs w:val="20"/>
              </w:rPr>
            </w:pPr>
          </w:p>
        </w:tc>
        <w:tc>
          <w:tcPr>
            <w:tcW w:w="0" w:type="auto"/>
            <w:tcBorders>
              <w:top w:val="single" w:sz="15" w:space="0" w:color="000000"/>
              <w:left w:val="single" w:sz="15" w:space="0" w:color="000000"/>
              <w:bottom w:val="single" w:sz="15" w:space="0" w:color="000000"/>
              <w:right w:val="nil"/>
            </w:tcBorders>
            <w:shd w:val="clear" w:color="auto" w:fill="F2F2F2" w:themeFill="background1" w:themeFillShade="F2"/>
          </w:tcPr>
          <w:p w14:paraId="35B746A3" w14:textId="77777777" w:rsidR="005A75AF" w:rsidRPr="00EC2755" w:rsidRDefault="005A75AF" w:rsidP="00D50704">
            <w:pPr>
              <w:rPr>
                <w:rFonts w:ascii="Calibri" w:hAnsi="Calibri" w:cs="Calibri"/>
                <w:sz w:val="20"/>
                <w:szCs w:val="20"/>
              </w:rPr>
            </w:pPr>
          </w:p>
        </w:tc>
        <w:tc>
          <w:tcPr>
            <w:tcW w:w="0" w:type="auto"/>
            <w:tcBorders>
              <w:top w:val="single" w:sz="15" w:space="0" w:color="000000"/>
              <w:left w:val="nil"/>
              <w:bottom w:val="single" w:sz="15" w:space="0" w:color="000000"/>
              <w:right w:val="nil"/>
            </w:tcBorders>
            <w:shd w:val="clear" w:color="auto" w:fill="F2F2F2" w:themeFill="background1" w:themeFillShade="F2"/>
          </w:tcPr>
          <w:p w14:paraId="531DBA5F" w14:textId="77777777" w:rsidR="005A75AF" w:rsidRPr="00EC2755" w:rsidRDefault="005A75AF" w:rsidP="00D50704">
            <w:pPr>
              <w:ind w:left="34"/>
              <w:rPr>
                <w:rFonts w:ascii="Calibri" w:hAnsi="Calibri" w:cs="Calibri"/>
                <w:sz w:val="20"/>
                <w:szCs w:val="20"/>
              </w:rPr>
            </w:pPr>
          </w:p>
        </w:tc>
        <w:tc>
          <w:tcPr>
            <w:tcW w:w="0" w:type="auto"/>
            <w:tcBorders>
              <w:top w:val="single" w:sz="15" w:space="0" w:color="000000"/>
              <w:left w:val="nil"/>
              <w:bottom w:val="single" w:sz="15" w:space="0" w:color="000000"/>
              <w:right w:val="nil"/>
            </w:tcBorders>
            <w:shd w:val="clear" w:color="auto" w:fill="F2F2F2" w:themeFill="background1" w:themeFillShade="F2"/>
          </w:tcPr>
          <w:p w14:paraId="3683C294" w14:textId="77777777" w:rsidR="005A75AF" w:rsidRPr="00EC2755" w:rsidRDefault="005A75AF" w:rsidP="00D50704">
            <w:pPr>
              <w:ind w:left="36"/>
              <w:jc w:val="both"/>
              <w:rPr>
                <w:rFonts w:ascii="Calibri" w:hAnsi="Calibri" w:cs="Calibri"/>
                <w:sz w:val="20"/>
                <w:szCs w:val="20"/>
              </w:rPr>
            </w:pPr>
          </w:p>
        </w:tc>
        <w:tc>
          <w:tcPr>
            <w:tcW w:w="0" w:type="auto"/>
            <w:gridSpan w:val="2"/>
            <w:tcBorders>
              <w:top w:val="single" w:sz="15" w:space="0" w:color="000000"/>
              <w:left w:val="nil"/>
              <w:bottom w:val="single" w:sz="15" w:space="0" w:color="000000"/>
              <w:right w:val="single" w:sz="15" w:space="0" w:color="000000"/>
            </w:tcBorders>
            <w:shd w:val="clear" w:color="auto" w:fill="F2F2F2" w:themeFill="background1" w:themeFillShade="F2"/>
          </w:tcPr>
          <w:p w14:paraId="77CC691A" w14:textId="77777777" w:rsidR="005A75AF" w:rsidRPr="00EC2755" w:rsidRDefault="005A75AF" w:rsidP="00D50704">
            <w:pPr>
              <w:ind w:left="-31"/>
              <w:rPr>
                <w:rFonts w:ascii="Calibri" w:hAnsi="Calibri" w:cs="Calibri"/>
                <w:sz w:val="20"/>
                <w:szCs w:val="20"/>
              </w:rPr>
            </w:pPr>
          </w:p>
        </w:tc>
      </w:tr>
      <w:tr w:rsidR="005A75AF" w:rsidRPr="00EC2755" w14:paraId="297247ED" w14:textId="77777777" w:rsidTr="005A75AF">
        <w:trPr>
          <w:trHeight w:val="216"/>
        </w:trPr>
        <w:tc>
          <w:tcPr>
            <w:tcW w:w="0" w:type="auto"/>
            <w:tcBorders>
              <w:top w:val="single" w:sz="15" w:space="0" w:color="000000"/>
              <w:left w:val="single" w:sz="8" w:space="0" w:color="000000"/>
              <w:bottom w:val="single" w:sz="8" w:space="0" w:color="000000"/>
              <w:right w:val="single" w:sz="8" w:space="0" w:color="000000"/>
            </w:tcBorders>
          </w:tcPr>
          <w:p w14:paraId="3EC97C67"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ACES</w:t>
            </w:r>
          </w:p>
        </w:tc>
        <w:tc>
          <w:tcPr>
            <w:tcW w:w="0" w:type="auto"/>
            <w:tcBorders>
              <w:top w:val="single" w:sz="15" w:space="0" w:color="000000"/>
              <w:left w:val="single" w:sz="8" w:space="0" w:color="000000"/>
              <w:bottom w:val="single" w:sz="8" w:space="0" w:color="000000"/>
              <w:right w:val="single" w:sz="8" w:space="0" w:color="000000"/>
            </w:tcBorders>
            <w:shd w:val="clear" w:color="auto" w:fill="FF0000"/>
          </w:tcPr>
          <w:p w14:paraId="52B6494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$49,733</w:t>
            </w:r>
          </w:p>
        </w:tc>
        <w:tc>
          <w:tcPr>
            <w:tcW w:w="0" w:type="auto"/>
            <w:tcBorders>
              <w:top w:val="single" w:sz="15" w:space="0" w:color="000000"/>
              <w:left w:val="single" w:sz="8" w:space="0" w:color="000000"/>
              <w:bottom w:val="single" w:sz="8" w:space="0" w:color="000000"/>
              <w:right w:val="single" w:sz="8" w:space="0" w:color="000000"/>
            </w:tcBorders>
            <w:shd w:val="clear" w:color="auto" w:fill="FF0000"/>
          </w:tcPr>
          <w:p w14:paraId="3625AB5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$51,558</w:t>
            </w:r>
          </w:p>
        </w:tc>
        <w:tc>
          <w:tcPr>
            <w:tcW w:w="0" w:type="auto"/>
            <w:tcBorders>
              <w:top w:val="single" w:sz="15" w:space="0" w:color="000000"/>
              <w:left w:val="single" w:sz="8" w:space="0" w:color="000000"/>
              <w:bottom w:val="single" w:sz="8" w:space="0" w:color="000000"/>
              <w:right w:val="single" w:sz="8" w:space="0" w:color="000000"/>
            </w:tcBorders>
            <w:shd w:val="clear" w:color="auto" w:fill="FF0000"/>
          </w:tcPr>
          <w:p w14:paraId="5E2B093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$53,449</w:t>
            </w:r>
          </w:p>
        </w:tc>
        <w:tc>
          <w:tcPr>
            <w:tcW w:w="0" w:type="auto"/>
            <w:tcBorders>
              <w:top w:val="single" w:sz="15" w:space="0" w:color="000000"/>
              <w:left w:val="single" w:sz="8" w:space="0" w:color="000000"/>
              <w:bottom w:val="single" w:sz="8" w:space="0" w:color="000000"/>
              <w:right w:val="single" w:sz="8" w:space="0" w:color="000000"/>
            </w:tcBorders>
            <w:shd w:val="clear" w:color="auto" w:fill="FF0000"/>
          </w:tcPr>
          <w:p w14:paraId="340C557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$55,412</w:t>
            </w:r>
          </w:p>
        </w:tc>
        <w:tc>
          <w:tcPr>
            <w:tcW w:w="0" w:type="auto"/>
            <w:tcBorders>
              <w:top w:val="single" w:sz="15" w:space="0" w:color="000000"/>
              <w:left w:val="single" w:sz="8" w:space="0" w:color="000000"/>
              <w:bottom w:val="single" w:sz="8" w:space="0" w:color="000000"/>
              <w:right w:val="single" w:sz="8" w:space="0" w:color="000000"/>
            </w:tcBorders>
            <w:shd w:val="clear" w:color="auto" w:fill="FF0000"/>
          </w:tcPr>
          <w:p w14:paraId="5836DC8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$57,443</w:t>
            </w:r>
          </w:p>
        </w:tc>
        <w:tc>
          <w:tcPr>
            <w:tcW w:w="0" w:type="auto"/>
            <w:tcBorders>
              <w:top w:val="single" w:sz="15" w:space="0" w:color="000000"/>
              <w:left w:val="single" w:sz="8" w:space="0" w:color="000000"/>
              <w:bottom w:val="single" w:sz="8" w:space="0" w:color="000000"/>
              <w:right w:val="single" w:sz="8" w:space="0" w:color="000000"/>
            </w:tcBorders>
            <w:shd w:val="clear" w:color="auto" w:fill="FF0000"/>
          </w:tcPr>
          <w:p w14:paraId="4BB78A1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$59,551</w:t>
            </w:r>
          </w:p>
        </w:tc>
        <w:tc>
          <w:tcPr>
            <w:tcW w:w="0" w:type="auto"/>
            <w:tcBorders>
              <w:top w:val="single" w:sz="15" w:space="0" w:color="000000"/>
              <w:left w:val="single" w:sz="8" w:space="0" w:color="000000"/>
              <w:bottom w:val="single" w:sz="8" w:space="0" w:color="000000"/>
              <w:right w:val="single" w:sz="8" w:space="0" w:color="000000"/>
            </w:tcBorders>
            <w:shd w:val="clear" w:color="auto" w:fill="FFFF00"/>
          </w:tcPr>
          <w:p w14:paraId="5B38E2F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$61,737</w:t>
            </w:r>
          </w:p>
        </w:tc>
        <w:tc>
          <w:tcPr>
            <w:tcW w:w="0" w:type="auto"/>
            <w:tcBorders>
              <w:top w:val="single" w:sz="15" w:space="0" w:color="000000"/>
              <w:left w:val="single" w:sz="8" w:space="0" w:color="000000"/>
              <w:bottom w:val="single" w:sz="8" w:space="0" w:color="000000"/>
              <w:right w:val="single" w:sz="8" w:space="0" w:color="000000"/>
            </w:tcBorders>
            <w:shd w:val="clear" w:color="auto" w:fill="FFFF00"/>
          </w:tcPr>
          <w:p w14:paraId="3068762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$64,002</w:t>
            </w:r>
          </w:p>
        </w:tc>
        <w:tc>
          <w:tcPr>
            <w:tcW w:w="0" w:type="auto"/>
            <w:tcBorders>
              <w:top w:val="single" w:sz="15" w:space="0" w:color="000000"/>
              <w:left w:val="single" w:sz="8" w:space="0" w:color="000000"/>
              <w:bottom w:val="single" w:sz="8" w:space="0" w:color="000000"/>
              <w:right w:val="single" w:sz="8" w:space="0" w:color="000000"/>
            </w:tcBorders>
            <w:shd w:val="clear" w:color="auto" w:fill="FFFF00"/>
          </w:tcPr>
          <w:p w14:paraId="3288734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$66,349</w:t>
            </w:r>
          </w:p>
        </w:tc>
        <w:tc>
          <w:tcPr>
            <w:tcW w:w="0" w:type="auto"/>
            <w:tcBorders>
              <w:top w:val="single" w:sz="15" w:space="0" w:color="000000"/>
              <w:left w:val="single" w:sz="8" w:space="0" w:color="000000"/>
              <w:bottom w:val="single" w:sz="8" w:space="0" w:color="000000"/>
              <w:right w:val="single" w:sz="8" w:space="0" w:color="000000"/>
            </w:tcBorders>
            <w:shd w:val="clear" w:color="auto" w:fill="92D050"/>
          </w:tcPr>
          <w:p w14:paraId="37BB59D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$73,934</w:t>
            </w:r>
          </w:p>
        </w:tc>
      </w:tr>
      <w:tr w:rsidR="005A75AF" w:rsidRPr="00EC2755" w14:paraId="7C7476D4"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203E1921"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Andover</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956CC2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$49,699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1E29A6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$51,533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D496D8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$53,620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4FAC7C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$55,742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3CEF5E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$57,889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5BDA71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$62,320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7C0127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$64,587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E915BC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$67,728</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97A1D5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$71,872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2CC4296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$81,297</w:t>
            </w:r>
          </w:p>
        </w:tc>
      </w:tr>
      <w:tr w:rsidR="005A75AF" w:rsidRPr="00EC2755" w14:paraId="14CF39CB"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1AFFA83E"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Ansonia</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CE6048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$55,175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F47824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$56,830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55CFD0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$58,535</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B6515A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$60,291</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FFB414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$62,100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50392A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$63,963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51D554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$65,882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215C508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$67,858</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D89B0B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$69,894</w:t>
            </w:r>
          </w:p>
        </w:tc>
        <w:tc>
          <w:tcPr>
            <w:tcW w:w="0" w:type="auto"/>
            <w:tcBorders>
              <w:top w:val="single" w:sz="8" w:space="0" w:color="000000"/>
              <w:left w:val="single" w:sz="8" w:space="0" w:color="000000"/>
              <w:bottom w:val="single" w:sz="8" w:space="0" w:color="000000"/>
              <w:right w:val="single" w:sz="8" w:space="0" w:color="000000"/>
            </w:tcBorders>
          </w:tcPr>
          <w:p w14:paraId="564E4C3A" w14:textId="77777777" w:rsidR="005A75AF" w:rsidRPr="00EC2755" w:rsidRDefault="005A75AF" w:rsidP="00D50704">
            <w:pPr>
              <w:spacing w:after="160"/>
              <w:rPr>
                <w:rFonts w:ascii="Calibri" w:hAnsi="Calibri" w:cs="Calibri"/>
                <w:sz w:val="20"/>
                <w:szCs w:val="20"/>
              </w:rPr>
            </w:pPr>
          </w:p>
        </w:tc>
      </w:tr>
      <w:tr w:rsidR="005A75AF" w:rsidRPr="00EC2755" w14:paraId="7D81E11E"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6CE8E9B9"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Ashford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E5B5B4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$45,465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1C8F95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$46,669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611B2C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$48,043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0045D0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$49,591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2719C2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$51,310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B7F558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$53,201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F004CE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$55,262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993B46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$57,498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27CB5E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$59,905</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55A1FC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$62,506</w:t>
            </w:r>
          </w:p>
        </w:tc>
      </w:tr>
      <w:tr w:rsidR="005A75AF" w:rsidRPr="00EC2755" w14:paraId="445994C5" w14:textId="77777777" w:rsidTr="005A75AF">
        <w:trPr>
          <w:trHeight w:val="217"/>
        </w:trPr>
        <w:tc>
          <w:tcPr>
            <w:tcW w:w="0" w:type="auto"/>
            <w:tcBorders>
              <w:top w:val="single" w:sz="8" w:space="0" w:color="000000"/>
              <w:left w:val="single" w:sz="8" w:space="0" w:color="000000"/>
              <w:bottom w:val="single" w:sz="8" w:space="0" w:color="000000"/>
              <w:right w:val="single" w:sz="8" w:space="0" w:color="000000"/>
            </w:tcBorders>
          </w:tcPr>
          <w:p w14:paraId="7AA63534"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Avon</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5540F1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$61,882</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4D3C14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$64,382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AAB2F3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$66,882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43F2A1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$69,382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63DCD4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$72,382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BF812D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$74,382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6F7FFC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$76,382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31B385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$77,882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264C9E3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$79,382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45FA56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$80,882</w:t>
            </w:r>
          </w:p>
        </w:tc>
      </w:tr>
      <w:tr w:rsidR="005A75AF" w:rsidRPr="00EC2755" w14:paraId="05D6E655"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3BAD2B6C" w14:textId="77777777" w:rsidR="005A75AF" w:rsidRPr="00EC2755" w:rsidRDefault="005A75AF" w:rsidP="00D50704">
            <w:pPr>
              <w:ind w:left="31"/>
              <w:rPr>
                <w:rFonts w:ascii="Calibri" w:hAnsi="Calibri" w:cs="Calibri"/>
                <w:sz w:val="20"/>
                <w:szCs w:val="20"/>
              </w:rPr>
            </w:pPr>
            <w:proofErr w:type="spellStart"/>
            <w:r w:rsidRPr="00EC2755">
              <w:rPr>
                <w:rFonts w:ascii="Calibri" w:hAnsi="Calibri" w:cs="Calibri"/>
                <w:sz w:val="20"/>
                <w:szCs w:val="20"/>
              </w:rPr>
              <w:t>Barkhamsted</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D67B09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$43,265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DEF63D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$45,348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3D5B25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$47,531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827131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$49,819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E14134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$52,216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3344DE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$54,730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89E73B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$57,365</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1C9D53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$60,125</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704D55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$63,019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F78BC2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$66,053</w:t>
            </w:r>
          </w:p>
        </w:tc>
      </w:tr>
      <w:tr w:rsidR="005A75AF" w:rsidRPr="00EC2755" w14:paraId="530CB4C5"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204F0D58"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Berlin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3BFA0D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$51,200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98B2B7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$52,927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B0EF3E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$54,708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7B0D5C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$56,554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606888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$58,469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3B0EE2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$60,450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5ADF83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$63,237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E18DF0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$66,646</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B2FEE9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$70,149</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8E1372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$74,868</w:t>
            </w:r>
          </w:p>
        </w:tc>
      </w:tr>
      <w:tr w:rsidR="005A75AF" w:rsidRPr="00EC2755" w14:paraId="3D38B459"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297FC3DB"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Bethany</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5897DA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$52,693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6A73CE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$54,063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8D72DD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$55,469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206BAD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$56,911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739CDC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$58,391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F98FE4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$59,909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B5FA43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$61,467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F2C85B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$63,065</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A1270E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$64,705</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08158C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$66,387</w:t>
            </w:r>
          </w:p>
        </w:tc>
      </w:tr>
      <w:tr w:rsidR="005A75AF" w:rsidRPr="00EC2755" w14:paraId="04E0EEF3"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436B882F"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Bethel</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F54425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$53,061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E8230E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$53,970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39B600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$54,895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ABF5F9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$55,836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AC2A0B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$56,794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79C27D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$57,768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CB0D55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$58,757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6F4747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$59,764</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B24021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$60,790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F7133E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$61,832</w:t>
            </w:r>
          </w:p>
        </w:tc>
      </w:tr>
      <w:tr w:rsidR="005A75AF" w:rsidRPr="00EC2755" w14:paraId="53E73FA3"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443BA570"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Bloomfield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F46864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$53,915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F99AA9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$55,915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532D63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$57,915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A51215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$59,915</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579289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$61,915</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4176A8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$63,915</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15F452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$67,330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EED40F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$70,770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EE1FC0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$74,105</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E8D75A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$77,433</w:t>
            </w:r>
          </w:p>
        </w:tc>
      </w:tr>
      <w:tr w:rsidR="005A75AF" w:rsidRPr="00EC2755" w14:paraId="682D2F9B"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6981445A"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Bolton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F281F5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$45,799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148177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$47,970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5B9F50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$50,245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9FA90A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$52,628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C8BE82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$55,126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E54F9D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$57,739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D010A9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$60,478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BFF1A4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$63,347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49F886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$66,351</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73FDDC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$69,500</w:t>
            </w:r>
          </w:p>
        </w:tc>
      </w:tr>
      <w:tr w:rsidR="005A75AF" w:rsidRPr="00EC2755" w14:paraId="75FC2770"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28882C3F"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Bozrah</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B1625B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$46,545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BB0784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$48,473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C02FD2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$50,638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9B5C3D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$53,021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D25E0E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$55,627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131A55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$58,438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8A0762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$61,468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EE2CDC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$64,865</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DFD29E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$68,180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43E52D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$71,843</w:t>
            </w:r>
          </w:p>
        </w:tc>
      </w:tr>
      <w:tr w:rsidR="005A75AF" w:rsidRPr="00EC2755" w14:paraId="62BB4D02"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6581FC21"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Branford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6B2755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$54,244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74CBEB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$55,376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63DFF3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$56,943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37602A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$58,354</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14FC62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$60,308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C71ED7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$61,639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9B078A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$64,402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2125B6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$67,641</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548DD6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$71,419</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276181B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$76,018</w:t>
            </w:r>
          </w:p>
        </w:tc>
      </w:tr>
      <w:tr w:rsidR="005A75AF" w:rsidRPr="00EC2755" w14:paraId="316382A6"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468630A6"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Bridgeport</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50531D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$45,591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356B1C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$46,880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FEF8FA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$48,817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4673B3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$50,321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75740E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$52,042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96210A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$53,762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22485C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$55,482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E2CA08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$57,203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116F2E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$58,923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87025B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$60,815</w:t>
            </w:r>
          </w:p>
        </w:tc>
      </w:tr>
      <w:tr w:rsidR="005A75AF" w:rsidRPr="00EC2755" w14:paraId="0BEBAEF4"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5197DCD7"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Bristol</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A00095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$51,785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E72EAE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$55,162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9AB794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$58,538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257E03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$61,913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041BF3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$65,289</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551E9B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$68,665</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27FDC8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$72,040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E3D33F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$75,417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CFE5DC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$78,793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5612C4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$82,248</w:t>
            </w:r>
          </w:p>
        </w:tc>
      </w:tr>
      <w:tr w:rsidR="005A75AF" w:rsidRPr="00EC2755" w14:paraId="4E66028D"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6BA38B59"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Brookfield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C25C4D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$57,185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FFCB74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$59,521</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D101CE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$61,959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E3171E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$64,499</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29EC912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$67,146</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38948E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$69,907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4BEA78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$72,783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12E99C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$75,783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3CE1AC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$78,910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4E5C93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$81,648</w:t>
            </w:r>
          </w:p>
        </w:tc>
      </w:tr>
      <w:tr w:rsidR="005A75AF" w:rsidRPr="00EC2755" w14:paraId="46417FE4"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3A7CA973"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Brooklyn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B7D6C8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$48,320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5B9696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$50,366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50CB57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$52,413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39B2AA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$54,461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2BFB23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$56,508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F23C8C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$58,963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AD994D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$61,419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82FD85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$63,875</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E8B727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$66,741</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6B26E6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$69,607</w:t>
            </w:r>
          </w:p>
        </w:tc>
      </w:tr>
      <w:tr w:rsidR="005A75AF" w:rsidRPr="00EC2755" w14:paraId="53FDACF3"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59D422F2"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Canaan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A4D84F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$50,786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AF1E20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$52,690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C78DD2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$54,666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3C97E1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$56,716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3F5CB3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$58,914</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7818E3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$61,271</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039A54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$63,832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E8671B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$67,275</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6C4E93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$71,249</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B33F9A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$77,641</w:t>
            </w:r>
          </w:p>
        </w:tc>
      </w:tr>
      <w:tr w:rsidR="005A75AF" w:rsidRPr="00EC2755" w14:paraId="13AFCAFC"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45E0B6FA"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Canterbury</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8D8605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$46,445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FF513C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$47,736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804337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$49,025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436965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$50,315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D31B60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$51,605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7204BF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$53,079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D0FD38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$54,550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33362E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$56,026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565DE8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$57,497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015E99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$58,973</w:t>
            </w:r>
          </w:p>
        </w:tc>
      </w:tr>
      <w:tr w:rsidR="005A75AF" w:rsidRPr="00EC2755" w14:paraId="75CEF076"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5A0AD9C5"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Canton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D514B8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$47,591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2CC837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$48,854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ADD4AD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$50,227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68C302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$51,661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B204E8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$53,198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170EBA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$54,062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40D4D7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$55,597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D60D7D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$57,262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745539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$59,117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9A54ED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$62,637</w:t>
            </w:r>
          </w:p>
        </w:tc>
      </w:tr>
      <w:tr w:rsidR="005A75AF" w:rsidRPr="00EC2755" w14:paraId="0C4E1D6C"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1EEBD4F5"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CES</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85578A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$51,404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20324C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$51,881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DA65B9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$53,002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214179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$53,944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7D9684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$54,400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A831C2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$56,326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2DBD74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$58,593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6DE100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$62,244</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01A1C4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$73,903</w:t>
            </w:r>
          </w:p>
        </w:tc>
        <w:tc>
          <w:tcPr>
            <w:tcW w:w="0" w:type="auto"/>
            <w:tcBorders>
              <w:top w:val="single" w:sz="8" w:space="0" w:color="000000"/>
              <w:left w:val="single" w:sz="8" w:space="0" w:color="000000"/>
              <w:bottom w:val="single" w:sz="8" w:space="0" w:color="000000"/>
              <w:right w:val="single" w:sz="8" w:space="0" w:color="000000"/>
            </w:tcBorders>
          </w:tcPr>
          <w:p w14:paraId="14BC0665" w14:textId="77777777" w:rsidR="005A75AF" w:rsidRPr="00EC2755" w:rsidRDefault="005A75AF" w:rsidP="00D50704">
            <w:pPr>
              <w:spacing w:after="160"/>
              <w:rPr>
                <w:rFonts w:ascii="Calibri" w:hAnsi="Calibri" w:cs="Calibri"/>
                <w:sz w:val="20"/>
                <w:szCs w:val="20"/>
              </w:rPr>
            </w:pPr>
          </w:p>
        </w:tc>
      </w:tr>
      <w:tr w:rsidR="005A75AF" w:rsidRPr="00EC2755" w14:paraId="19C546D0"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2BCB6BB6"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Chaplin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5EFF6C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$53,459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1DB7CC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$55,365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C4E862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$57,271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B7D784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$59,179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77C549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$61,087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7C54CE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$62,994</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723973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$64,900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B6D621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$66,808</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E58D3E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$69,008</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0C67D6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$71,208</w:t>
            </w:r>
          </w:p>
        </w:tc>
      </w:tr>
      <w:tr w:rsidR="005A75AF" w:rsidRPr="00EC2755" w14:paraId="6B1B77E0"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403A591A"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Cheshire</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979157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$49,948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53A041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$51,309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DBCFD7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$52,672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653AC4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$54,034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304B33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$55,396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65B871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$56,531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05A55D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$57,780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49C2D2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$59,369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67D7B1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$61,413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6E85BE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$63,682</w:t>
            </w:r>
          </w:p>
        </w:tc>
      </w:tr>
      <w:tr w:rsidR="005A75AF" w:rsidRPr="00EC2755" w14:paraId="28099742"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17D2B1FB"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Clinton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902A95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$48,314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62799E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$51,252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847A28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$54,773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F32378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$58,256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489423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$62,610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0BECBF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$67,286</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2A2B5C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$69,768</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724ED0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$72,251</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EA6464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$74,965</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2BE26A0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$78,055</w:t>
            </w:r>
          </w:p>
        </w:tc>
      </w:tr>
      <w:tr w:rsidR="005A75AF" w:rsidRPr="00EC2755" w14:paraId="1589A684"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12FC923A"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Colchester</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E8266F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$48,743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BB56F9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$49,766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A86EDE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$50,902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561FFC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$52,539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B9F347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$54,175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5AD712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$56,612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9DAEBF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$58,963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E9B33C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$62,206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31F2DF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$65,627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E34400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$69,236</w:t>
            </w:r>
          </w:p>
        </w:tc>
      </w:tr>
      <w:tr w:rsidR="005A75AF" w:rsidRPr="00EC2755" w14:paraId="2872F4FB"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5CC5C921"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Colebrook</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AC1D32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$45,463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8CE42A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$48,345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BE0D9F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$51,227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C15A60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$54,108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58F2C3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$56,989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0A0135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$59,870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813F1B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$62,753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02DAB6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$65,633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315CD7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$70,344</w:t>
            </w:r>
          </w:p>
        </w:tc>
        <w:tc>
          <w:tcPr>
            <w:tcW w:w="0" w:type="auto"/>
            <w:tcBorders>
              <w:top w:val="single" w:sz="8" w:space="0" w:color="000000"/>
              <w:left w:val="single" w:sz="8" w:space="0" w:color="000000"/>
              <w:bottom w:val="single" w:sz="8" w:space="0" w:color="000000"/>
              <w:right w:val="single" w:sz="8" w:space="0" w:color="000000"/>
            </w:tcBorders>
          </w:tcPr>
          <w:p w14:paraId="4678EEEE" w14:textId="77777777" w:rsidR="005A75AF" w:rsidRPr="00EC2755" w:rsidRDefault="005A75AF" w:rsidP="00D50704">
            <w:pPr>
              <w:spacing w:after="160"/>
              <w:rPr>
                <w:rFonts w:ascii="Calibri" w:hAnsi="Calibri" w:cs="Calibri"/>
                <w:sz w:val="20"/>
                <w:szCs w:val="20"/>
              </w:rPr>
            </w:pPr>
          </w:p>
        </w:tc>
      </w:tr>
      <w:tr w:rsidR="005A75AF" w:rsidRPr="00EC2755" w14:paraId="4A4B6D57" w14:textId="77777777" w:rsidTr="005A75AF">
        <w:trPr>
          <w:trHeight w:val="217"/>
        </w:trPr>
        <w:tc>
          <w:tcPr>
            <w:tcW w:w="0" w:type="auto"/>
            <w:tcBorders>
              <w:top w:val="single" w:sz="8" w:space="0" w:color="000000"/>
              <w:left w:val="single" w:sz="8" w:space="0" w:color="000000"/>
              <w:bottom w:val="single" w:sz="8" w:space="0" w:color="000000"/>
              <w:right w:val="single" w:sz="8" w:space="0" w:color="000000"/>
            </w:tcBorders>
          </w:tcPr>
          <w:p w14:paraId="5D2D16D3"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Columbia</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5D18E1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$49,875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34508B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$52,486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A6BE75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$55,233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897ABE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$58,124</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DABBEC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$61,168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0C3832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$64,370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78C6B3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$67,739</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0F98E8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$71,285</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0DD5C0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$75,017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272179D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$78,942</w:t>
            </w:r>
          </w:p>
        </w:tc>
      </w:tr>
      <w:tr w:rsidR="005A75AF" w:rsidRPr="00EC2755" w14:paraId="013C53AE"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4AAE8CB4"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Cornwall</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558B70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$47,893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7722EA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$49,572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274B5D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$51,315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27054D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$53,120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A73993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$54,994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FCAB0E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$57,068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DF1251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$59,227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728023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$61,220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4EB1B8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$65,578</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A8AFDE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$70,205</w:t>
            </w:r>
          </w:p>
        </w:tc>
      </w:tr>
      <w:tr w:rsidR="005A75AF" w:rsidRPr="00EC2755" w14:paraId="004BDD1F"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0262E0E1"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Coventry</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659C0B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$48,650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C436C4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$50,599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19CF28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$52,623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D10552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$54,726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6A03AB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$56,916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BF8A3F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$59,193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CB72AC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$61,563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9EFD06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$64,022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01BED2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$66,746</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A656E7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$69,580</w:t>
            </w:r>
          </w:p>
        </w:tc>
      </w:tr>
      <w:tr w:rsidR="005A75AF" w:rsidRPr="00EC2755" w14:paraId="6F4B1943"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796E9479"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CREC</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242D83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$47,725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96DEB1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$50,122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8E05F7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$52,638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2BA519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$55,283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0D8B1A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$58,061</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424E69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$60,977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6AEA67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$64,040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534EFE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$67,628</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AE383F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$71,216</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54ABD4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$74,804</w:t>
            </w:r>
          </w:p>
        </w:tc>
      </w:tr>
      <w:tr w:rsidR="005A75AF" w:rsidRPr="00EC2755" w14:paraId="5A935E62"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2F151774"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Cromwell</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731773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$50,616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FB723B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$52,364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FE1054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$54,171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695708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$56,041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E0ADA2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$57,980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1603F0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$59,995</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45F754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$62,083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D229DA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$64,407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2407C5E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$66,999</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93ED58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$68,750</w:t>
            </w:r>
          </w:p>
        </w:tc>
      </w:tr>
      <w:tr w:rsidR="005A75AF" w:rsidRPr="00EC2755" w14:paraId="33FC9BFC"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6298BF79"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Danbury</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8F6780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$51,288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2683E3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$53,478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426FC3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$55,762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6A609E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$58,143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AD74A9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$60,627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0559B5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$63,216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F34FE3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$65,916</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F098B6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$68,731</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C34C45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$71,667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F5CBE4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$74,728</w:t>
            </w:r>
          </w:p>
        </w:tc>
      </w:tr>
      <w:tr w:rsidR="005A75AF" w:rsidRPr="00EC2755" w14:paraId="49846C38"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7CF8E57D"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Darien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388EF8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$51,646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75A2FD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$53,826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9E91EB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$56,318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F4B6E3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$58,996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BD07F9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$61,914</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8BA7EA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$65,361</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59956C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$69,253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6A3248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$73,145</w:t>
            </w:r>
          </w:p>
        </w:tc>
        <w:tc>
          <w:tcPr>
            <w:tcW w:w="0" w:type="auto"/>
            <w:tcBorders>
              <w:top w:val="single" w:sz="8" w:space="0" w:color="000000"/>
              <w:left w:val="single" w:sz="8" w:space="0" w:color="000000"/>
              <w:bottom w:val="single" w:sz="8" w:space="0" w:color="000000"/>
              <w:right w:val="single" w:sz="8" w:space="0" w:color="000000"/>
            </w:tcBorders>
          </w:tcPr>
          <w:p w14:paraId="2BBC2748" w14:textId="77777777" w:rsidR="005A75AF" w:rsidRPr="00EC2755" w:rsidRDefault="005A75AF" w:rsidP="00D50704">
            <w:pPr>
              <w:spacing w:after="160"/>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Pr>
          <w:p w14:paraId="6C3BB465" w14:textId="77777777" w:rsidR="005A75AF" w:rsidRPr="00EC2755" w:rsidRDefault="005A75AF" w:rsidP="00D50704">
            <w:pPr>
              <w:spacing w:after="160"/>
              <w:rPr>
                <w:rFonts w:ascii="Calibri" w:hAnsi="Calibri" w:cs="Calibri"/>
                <w:sz w:val="20"/>
                <w:szCs w:val="20"/>
              </w:rPr>
            </w:pPr>
          </w:p>
        </w:tc>
      </w:tr>
      <w:tr w:rsidR="005A75AF" w:rsidRPr="00EC2755" w14:paraId="36DCF667"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78387EFA"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Derby</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A6C267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$50,168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20CA7E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$51,673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A93233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$53,223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9BBA37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$54,820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E7AF0E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$56,465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D79DF7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$58,188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77E752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$60,021</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961375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$61,942</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1955DE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$63,924</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A40111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$65,969</w:t>
            </w:r>
          </w:p>
        </w:tc>
      </w:tr>
      <w:tr w:rsidR="005A75AF" w:rsidRPr="00EC2755" w14:paraId="4EBB73FB"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55E58CBB"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East Granby</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254CE6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$53,135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A802C6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$54,740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234281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$57,153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5F398F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$59,566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D3FC03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$61,576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1BE470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$63,585</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BB7250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$65,534</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2C14E0A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$67,485</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7FB2F5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$69,895</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A544A8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$72,600</w:t>
            </w:r>
          </w:p>
        </w:tc>
      </w:tr>
      <w:tr w:rsidR="005A75AF" w:rsidRPr="00EC2755" w14:paraId="162DDFEE"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085D4FB6"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East Haddam</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EC79F5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$51,353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B384BC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$52,977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9C011A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$55,014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871C68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$57,131</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FDAE05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$60,058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ADE6B7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$63,137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1CE5F4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$65,907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529B12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$69,567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B7D41B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$74,639</w:t>
            </w:r>
          </w:p>
        </w:tc>
        <w:tc>
          <w:tcPr>
            <w:tcW w:w="0" w:type="auto"/>
            <w:tcBorders>
              <w:top w:val="single" w:sz="8" w:space="0" w:color="000000"/>
              <w:left w:val="single" w:sz="8" w:space="0" w:color="000000"/>
              <w:bottom w:val="single" w:sz="8" w:space="0" w:color="000000"/>
              <w:right w:val="single" w:sz="8" w:space="0" w:color="000000"/>
            </w:tcBorders>
          </w:tcPr>
          <w:p w14:paraId="5F4FDF14" w14:textId="77777777" w:rsidR="005A75AF" w:rsidRPr="00EC2755" w:rsidRDefault="005A75AF" w:rsidP="00D50704">
            <w:pPr>
              <w:spacing w:after="160"/>
              <w:rPr>
                <w:rFonts w:ascii="Calibri" w:hAnsi="Calibri" w:cs="Calibri"/>
                <w:sz w:val="20"/>
                <w:szCs w:val="20"/>
              </w:rPr>
            </w:pPr>
          </w:p>
        </w:tc>
      </w:tr>
      <w:tr w:rsidR="005A75AF" w:rsidRPr="00EC2755" w14:paraId="7ADD1F50"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78F462E2"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East Hampton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282657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$50,856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F7C9A7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$54,632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A3EC59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$57,507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52DE26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$59,957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C527E7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$62,520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3CBD7A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$65,193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E1C215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$67,984</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836F47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$70,902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F4E7E5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$73,947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15166B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$77,130</w:t>
            </w:r>
          </w:p>
        </w:tc>
      </w:tr>
      <w:tr w:rsidR="005A75AF" w:rsidRPr="00EC2755" w14:paraId="2C448D3F"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100734CE"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East Hartford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F81764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$52,837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4A4ACB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$55,864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C8381D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$58,097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C18CAE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$60,335</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E2CE9C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$62,568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C11DD7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$64,804</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46A44C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$67,038</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BDE17C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$69,832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22432D0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$72,623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623F39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$75,417</w:t>
            </w:r>
          </w:p>
        </w:tc>
      </w:tr>
      <w:tr w:rsidR="005A75AF" w:rsidRPr="00EC2755" w14:paraId="4746078A"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5CEB75DD"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East Haven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015802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$50,709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3E2C62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$52,551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DD828B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$54,724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89F0C4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$57,140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8A7268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$60,107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F7D28D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$63,502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F946AE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$66,893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BD57BC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$70,016</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7FB528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$73,981</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F9A8DF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$79,094</w:t>
            </w:r>
          </w:p>
        </w:tc>
      </w:tr>
      <w:tr w:rsidR="005A75AF" w:rsidRPr="00EC2755" w14:paraId="22C42B76"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649C10CC"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East Lyme</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23D4FE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$47,395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52E488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$49,720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BA20C9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$52,159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2C9954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$54,722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A70CD3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$57,459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47E6E1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$60,237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152130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$63,201</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4B1DF3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$66,310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6CCD1A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$69,575</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A93CA4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$74,462</w:t>
            </w:r>
          </w:p>
        </w:tc>
      </w:tr>
      <w:tr w:rsidR="005A75AF" w:rsidRPr="00EC2755" w14:paraId="005303D2"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5AC418A5"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East Windsor</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FF2566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$52,904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EEA36F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$54,338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A4B716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$55,770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B49736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$57,712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BDBFB5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$59,739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14563A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$61,424</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E0C3EC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$63,113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6D22F7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$64,545</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873BEC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$66,486</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B6A83E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$67,922</w:t>
            </w:r>
          </w:p>
        </w:tc>
      </w:tr>
      <w:tr w:rsidR="005A75AF" w:rsidRPr="00EC2755" w14:paraId="440095B1" w14:textId="77777777" w:rsidTr="005A75AF">
        <w:trPr>
          <w:trHeight w:val="226"/>
        </w:trPr>
        <w:tc>
          <w:tcPr>
            <w:tcW w:w="0" w:type="auto"/>
            <w:tcBorders>
              <w:top w:val="single" w:sz="19" w:space="0" w:color="000000"/>
              <w:left w:val="single" w:sz="8" w:space="0" w:color="000000"/>
              <w:bottom w:val="single" w:sz="8" w:space="0" w:color="000000"/>
              <w:right w:val="single" w:sz="8" w:space="0" w:color="000000"/>
            </w:tcBorders>
          </w:tcPr>
          <w:p w14:paraId="0BC64D09"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EASTCONN</w:t>
            </w:r>
          </w:p>
        </w:tc>
        <w:tc>
          <w:tcPr>
            <w:tcW w:w="0" w:type="auto"/>
            <w:tcBorders>
              <w:top w:val="single" w:sz="19" w:space="0" w:color="000000"/>
              <w:left w:val="single" w:sz="8" w:space="0" w:color="000000"/>
              <w:bottom w:val="single" w:sz="8" w:space="0" w:color="000000"/>
              <w:right w:val="single" w:sz="8" w:space="0" w:color="000000"/>
            </w:tcBorders>
            <w:shd w:val="clear" w:color="auto" w:fill="FF0000"/>
          </w:tcPr>
          <w:p w14:paraId="5185F92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$49,692</w:t>
            </w:r>
          </w:p>
        </w:tc>
        <w:tc>
          <w:tcPr>
            <w:tcW w:w="0" w:type="auto"/>
            <w:tcBorders>
              <w:top w:val="single" w:sz="19" w:space="0" w:color="000000"/>
              <w:left w:val="single" w:sz="8" w:space="0" w:color="000000"/>
              <w:bottom w:val="single" w:sz="8" w:space="0" w:color="000000"/>
              <w:right w:val="single" w:sz="8" w:space="0" w:color="000000"/>
            </w:tcBorders>
            <w:shd w:val="clear" w:color="auto" w:fill="FF0000"/>
          </w:tcPr>
          <w:p w14:paraId="1BB4662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$51,513</w:t>
            </w:r>
          </w:p>
        </w:tc>
        <w:tc>
          <w:tcPr>
            <w:tcW w:w="0" w:type="auto"/>
            <w:tcBorders>
              <w:top w:val="single" w:sz="19" w:space="0" w:color="000000"/>
              <w:left w:val="single" w:sz="8" w:space="0" w:color="000000"/>
              <w:bottom w:val="single" w:sz="8" w:space="0" w:color="000000"/>
              <w:right w:val="single" w:sz="8" w:space="0" w:color="000000"/>
            </w:tcBorders>
            <w:shd w:val="clear" w:color="auto" w:fill="FF0000"/>
          </w:tcPr>
          <w:p w14:paraId="72C0205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$53,337</w:t>
            </w:r>
          </w:p>
        </w:tc>
        <w:tc>
          <w:tcPr>
            <w:tcW w:w="0" w:type="auto"/>
            <w:tcBorders>
              <w:top w:val="single" w:sz="19" w:space="0" w:color="000000"/>
              <w:left w:val="single" w:sz="8" w:space="0" w:color="000000"/>
              <w:bottom w:val="single" w:sz="8" w:space="0" w:color="000000"/>
              <w:right w:val="single" w:sz="8" w:space="0" w:color="000000"/>
            </w:tcBorders>
            <w:shd w:val="clear" w:color="auto" w:fill="FF0000"/>
          </w:tcPr>
          <w:p w14:paraId="4FA6781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$55,160</w:t>
            </w:r>
          </w:p>
        </w:tc>
        <w:tc>
          <w:tcPr>
            <w:tcW w:w="0" w:type="auto"/>
            <w:tcBorders>
              <w:top w:val="single" w:sz="19" w:space="0" w:color="000000"/>
              <w:left w:val="single" w:sz="8" w:space="0" w:color="000000"/>
              <w:bottom w:val="single" w:sz="8" w:space="0" w:color="000000"/>
              <w:right w:val="single" w:sz="8" w:space="0" w:color="000000"/>
            </w:tcBorders>
            <w:shd w:val="clear" w:color="auto" w:fill="FF0000"/>
          </w:tcPr>
          <w:p w14:paraId="4059B7D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$56,985</w:t>
            </w:r>
          </w:p>
        </w:tc>
        <w:tc>
          <w:tcPr>
            <w:tcW w:w="0" w:type="auto"/>
            <w:tcBorders>
              <w:top w:val="single" w:sz="19" w:space="0" w:color="000000"/>
              <w:left w:val="single" w:sz="8" w:space="0" w:color="000000"/>
              <w:bottom w:val="single" w:sz="8" w:space="0" w:color="000000"/>
              <w:right w:val="single" w:sz="8" w:space="0" w:color="000000"/>
            </w:tcBorders>
            <w:shd w:val="clear" w:color="auto" w:fill="FF0000"/>
          </w:tcPr>
          <w:p w14:paraId="4CEE706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$58,808</w:t>
            </w:r>
          </w:p>
        </w:tc>
        <w:tc>
          <w:tcPr>
            <w:tcW w:w="0" w:type="auto"/>
            <w:tcBorders>
              <w:top w:val="single" w:sz="19" w:space="0" w:color="000000"/>
              <w:left w:val="single" w:sz="8" w:space="0" w:color="000000"/>
              <w:bottom w:val="single" w:sz="8" w:space="0" w:color="000000"/>
              <w:right w:val="single" w:sz="8" w:space="0" w:color="000000"/>
            </w:tcBorders>
            <w:shd w:val="clear" w:color="auto" w:fill="FFFF00"/>
          </w:tcPr>
          <w:p w14:paraId="725AC2D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$60,629</w:t>
            </w:r>
          </w:p>
        </w:tc>
        <w:tc>
          <w:tcPr>
            <w:tcW w:w="0" w:type="auto"/>
            <w:tcBorders>
              <w:top w:val="single" w:sz="19" w:space="0" w:color="000000"/>
              <w:left w:val="single" w:sz="8" w:space="0" w:color="000000"/>
              <w:bottom w:val="single" w:sz="8" w:space="0" w:color="000000"/>
              <w:right w:val="single" w:sz="8" w:space="0" w:color="000000"/>
            </w:tcBorders>
            <w:shd w:val="clear" w:color="auto" w:fill="FFFF00"/>
          </w:tcPr>
          <w:p w14:paraId="1EF2488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$62,454</w:t>
            </w:r>
          </w:p>
        </w:tc>
        <w:tc>
          <w:tcPr>
            <w:tcW w:w="0" w:type="auto"/>
            <w:tcBorders>
              <w:top w:val="single" w:sz="19" w:space="0" w:color="000000"/>
              <w:left w:val="single" w:sz="8" w:space="0" w:color="000000"/>
              <w:bottom w:val="single" w:sz="8" w:space="0" w:color="000000"/>
              <w:right w:val="single" w:sz="8" w:space="0" w:color="000000"/>
            </w:tcBorders>
            <w:shd w:val="clear" w:color="auto" w:fill="FFFF00"/>
          </w:tcPr>
          <w:p w14:paraId="4FD5AF1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$64,275</w:t>
            </w:r>
          </w:p>
        </w:tc>
        <w:tc>
          <w:tcPr>
            <w:tcW w:w="0" w:type="auto"/>
            <w:tcBorders>
              <w:top w:val="single" w:sz="19" w:space="0" w:color="000000"/>
              <w:left w:val="single" w:sz="8" w:space="0" w:color="000000"/>
              <w:bottom w:val="single" w:sz="8" w:space="0" w:color="000000"/>
              <w:right w:val="single" w:sz="8" w:space="0" w:color="000000"/>
            </w:tcBorders>
          </w:tcPr>
          <w:p w14:paraId="53AA36AE" w14:textId="77777777" w:rsidR="005A75AF" w:rsidRPr="00EC2755" w:rsidRDefault="005A75AF" w:rsidP="00D50704">
            <w:pPr>
              <w:spacing w:after="160"/>
              <w:rPr>
                <w:rFonts w:ascii="Calibri" w:hAnsi="Calibri" w:cs="Calibri"/>
                <w:sz w:val="20"/>
                <w:szCs w:val="20"/>
              </w:rPr>
            </w:pPr>
          </w:p>
        </w:tc>
      </w:tr>
      <w:tr w:rsidR="005A75AF" w:rsidRPr="00EC2755" w14:paraId="41CADE57"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657B7107"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Eastford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BAC0F8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$50,689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2DD97A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$52,621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A0F85B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$54,557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08958C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$56,493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01EC27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$58,427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716838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$60,363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5C1A6E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$62,297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12C5D8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$64,229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E0D090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$66,163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520AE4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$72,336</w:t>
            </w:r>
          </w:p>
        </w:tc>
      </w:tr>
      <w:tr w:rsidR="005A75AF" w:rsidRPr="00EC2755" w14:paraId="560D5D19"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1EC095CF"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Easton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D3FF6B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$47,905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9E9E15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$49,168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C76AC4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$50,464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FBC32B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$51,796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1F2EAF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$53,161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F2D57C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$54,562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98C664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$55,999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A3C592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$57,477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8342EB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$58,992</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4EFFEC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$65,087</w:t>
            </w:r>
          </w:p>
        </w:tc>
      </w:tr>
      <w:tr w:rsidR="005A75AF" w:rsidRPr="00EC2755" w14:paraId="7FBC120C"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59B97540"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Ellington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AD40B0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$54,337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3B862F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$56,388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3B9598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$58,440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8AC41B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$60,489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3621A1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$62,539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58FD41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$64,590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9C7B01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$66,640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CBA943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$68,690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CD47DC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$69,580</w:t>
            </w:r>
          </w:p>
        </w:tc>
        <w:tc>
          <w:tcPr>
            <w:tcW w:w="0" w:type="auto"/>
            <w:tcBorders>
              <w:top w:val="single" w:sz="8" w:space="0" w:color="000000"/>
              <w:left w:val="single" w:sz="8" w:space="0" w:color="000000"/>
              <w:bottom w:val="single" w:sz="8" w:space="0" w:color="000000"/>
              <w:right w:val="single" w:sz="8" w:space="0" w:color="000000"/>
            </w:tcBorders>
          </w:tcPr>
          <w:p w14:paraId="7EEA5B43" w14:textId="77777777" w:rsidR="005A75AF" w:rsidRPr="00EC2755" w:rsidRDefault="005A75AF" w:rsidP="00D50704">
            <w:pPr>
              <w:spacing w:after="160"/>
              <w:rPr>
                <w:rFonts w:ascii="Calibri" w:hAnsi="Calibri" w:cs="Calibri"/>
                <w:sz w:val="20"/>
                <w:szCs w:val="20"/>
              </w:rPr>
            </w:pPr>
          </w:p>
        </w:tc>
      </w:tr>
      <w:tr w:rsidR="005A75AF" w:rsidRPr="00EC2755" w14:paraId="30A248BB" w14:textId="77777777" w:rsidTr="005A75AF">
        <w:trPr>
          <w:trHeight w:val="217"/>
        </w:trPr>
        <w:tc>
          <w:tcPr>
            <w:tcW w:w="0" w:type="auto"/>
            <w:tcBorders>
              <w:top w:val="single" w:sz="8" w:space="0" w:color="000000"/>
              <w:left w:val="single" w:sz="8" w:space="0" w:color="000000"/>
              <w:bottom w:val="single" w:sz="8" w:space="0" w:color="000000"/>
              <w:right w:val="single" w:sz="8" w:space="0" w:color="000000"/>
            </w:tcBorders>
          </w:tcPr>
          <w:p w14:paraId="6D0D482C"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Enfield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196BCE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$47,539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ED948D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$49,272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0CD8F3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$51,081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8FD1DA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$52,037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16791A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$54,956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D4C2C9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$58,070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E57135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$61,396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D8DC7D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$64,943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2337AD9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$68,731</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2A0C303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$72,774</w:t>
            </w:r>
          </w:p>
        </w:tc>
      </w:tr>
      <w:tr w:rsidR="005A75AF" w:rsidRPr="00EC2755" w14:paraId="73834CC6"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5CCD01DA"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Fairfield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FCCF2D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$47,553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48C27F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$49,190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FE6527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$50,658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1F5DB3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$52,305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FE6E9B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$53,870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8A05E6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$55,440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B518DB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$57,535</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2B6CDE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$60,670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A0696C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$65,900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9D3F5A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$67,472</w:t>
            </w:r>
          </w:p>
        </w:tc>
      </w:tr>
      <w:tr w:rsidR="005A75AF" w:rsidRPr="00EC2755" w14:paraId="0D8C5845"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0F252A9D"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Farmington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FE0850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$52,618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35D308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$55,652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91B2E4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$58,809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2CAB94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$62,456</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63292B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$67,102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D33399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$68,255</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13632A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$69,428</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741D26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$70,622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330EFC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$70,622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76AF6D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$70,622</w:t>
            </w:r>
          </w:p>
        </w:tc>
      </w:tr>
      <w:tr w:rsidR="005A75AF" w:rsidRPr="00EC2755" w14:paraId="1073C895"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5C231174"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Franklin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861666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$52,747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BA37B4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$55,138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9BC38A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$57,530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4D6B99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$59,921</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C9B661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$62,313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0A7968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$64,086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847B38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$65,857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1BE479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$67,631</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BCE0D2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$69,406</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ADB771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$71,918</w:t>
            </w:r>
          </w:p>
        </w:tc>
      </w:tr>
      <w:tr w:rsidR="005A75AF" w:rsidRPr="00EC2755" w14:paraId="0430E6F2"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44E2A3D7"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Gilbert School</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5B4534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$45,054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1EBEBB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$45,544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2BF91C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$47,217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A48F44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$49,002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BD1533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$51,727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871462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$53,915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C9C5D3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$57,158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5B00EA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$60,658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E2EB4B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$62,785</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0D7DC7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$66,662</w:t>
            </w:r>
          </w:p>
        </w:tc>
      </w:tr>
      <w:tr w:rsidR="005A75AF" w:rsidRPr="00EC2755" w14:paraId="0DA7E9BE"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63188A1C"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Glastonbury</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F7736D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$52,485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B802B8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$54,107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F11B35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$55,997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519719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$59,034</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C2759A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$61,567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CA898B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$64,112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AF888C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$66,645</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BA3959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$68,715</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DAE287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$71,002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D52D45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$76,454</w:t>
            </w:r>
          </w:p>
        </w:tc>
      </w:tr>
      <w:tr w:rsidR="005A75AF" w:rsidRPr="00EC2755" w14:paraId="2574500A"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7DBEC7FB"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Granby</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B0ADD9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$48,677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AE4025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$50,624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83A693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$52,649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3E36A3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$54,755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66F079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$56,945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C83018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$59,223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8DD569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$61,592</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E4F45C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$64,056</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233DCB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$66,618</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AA7765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$69,283</w:t>
            </w:r>
          </w:p>
        </w:tc>
      </w:tr>
      <w:tr w:rsidR="005A75AF" w:rsidRPr="00EC2755" w14:paraId="50538027"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7A2F44FB"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Greenwich</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276379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$57,514</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C40413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$60,043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812201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$63,072</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A65E5A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$66,101</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2289B1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$69,139</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AD37C6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$72,170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E57EA2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$75,192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DBE96A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$78,227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3A5B51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$81,250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721374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$82,951</w:t>
            </w:r>
          </w:p>
        </w:tc>
      </w:tr>
      <w:tr w:rsidR="005A75AF" w:rsidRPr="00EC2755" w14:paraId="386059B2"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2E6849B0"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Griswold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1DF9F8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$51,387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AF7FFE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$53,363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720C5C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$55,524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F50A8C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$57,733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468B92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$59,854</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0950B7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$62,171</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0E530A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$64,263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387D2B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$66,910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CAB160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$69,860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A793E8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$72,188</w:t>
            </w:r>
          </w:p>
        </w:tc>
      </w:tr>
      <w:tr w:rsidR="005A75AF" w:rsidRPr="00EC2755" w14:paraId="22FFAB0D"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635DD249"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Groton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159257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$49,953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3FE419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$51,758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C27C42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$53,563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C9DEFB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$55,367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201A1E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$57,171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3AC3E9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$58,974</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1EAA28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$60,779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16A66F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$62,677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9FDF67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$64,737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2EE5050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$67,562</w:t>
            </w:r>
          </w:p>
        </w:tc>
      </w:tr>
      <w:tr w:rsidR="005A75AF" w:rsidRPr="00EC2755" w14:paraId="5F65F5DE"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4551D7B5"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Guilford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FCD074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$51,480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79C33E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$53,286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E804FA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$55,795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B7D9E7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$58,303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D35871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$60,310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98D206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$62,117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61FEF9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$64,224</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237899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$66,331</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7A5302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$68,439</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735360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$70,947</w:t>
            </w:r>
          </w:p>
        </w:tc>
      </w:tr>
      <w:tr w:rsidR="005A75AF" w:rsidRPr="00EC2755" w14:paraId="25E865F5"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65962B40"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Hamden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D061BC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$48,397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E647FD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$49,723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089B0E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$51,365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D5363C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$53,750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326CFF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$55,895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305CD8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$58,047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0AAFC8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$59,943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AA789C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$62,093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85CBDD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$64,406</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8EB4CA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$69,027</w:t>
            </w:r>
          </w:p>
        </w:tc>
      </w:tr>
      <w:tr w:rsidR="005A75AF" w:rsidRPr="00EC2755" w14:paraId="4D162987"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5F9C1FD3"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Hampton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37DC7D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$48,186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B68ED1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$50,504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35D08C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$52,827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326068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$55,143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4D4E27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$57,462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600303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$59,779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046910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$62,086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E36E50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$65,263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AFE1B4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$68,427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16A7BA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$71,588</w:t>
            </w:r>
          </w:p>
        </w:tc>
      </w:tr>
      <w:tr w:rsidR="005A75AF" w:rsidRPr="00EC2755" w14:paraId="04D47A4C"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66440FE9"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Hartford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C233EC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$47,464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F2B352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$48,877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7A3C8A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$51,177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15494B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$53,482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4D919B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$55,784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7BCBCB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$58,512</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EA1025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$60,902</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1E3841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$63,656</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20505BC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$67,078</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5DE865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$69,551</w:t>
            </w:r>
          </w:p>
        </w:tc>
      </w:tr>
      <w:tr w:rsidR="005A75AF" w:rsidRPr="00EC2755" w14:paraId="2FEC8054"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66645C0C"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Hartland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32C192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$46,236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DCE542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$48,509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F7FF5C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$50,894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B03917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$53,396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2EFECA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$56,022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956908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$58,776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8F30D9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$62,838</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2F5D3A7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$66,900</w:t>
            </w:r>
          </w:p>
        </w:tc>
        <w:tc>
          <w:tcPr>
            <w:tcW w:w="0" w:type="auto"/>
            <w:tcBorders>
              <w:top w:val="single" w:sz="8" w:space="0" w:color="000000"/>
              <w:left w:val="single" w:sz="8" w:space="0" w:color="000000"/>
              <w:bottom w:val="single" w:sz="8" w:space="0" w:color="000000"/>
              <w:right w:val="single" w:sz="8" w:space="0" w:color="000000"/>
            </w:tcBorders>
          </w:tcPr>
          <w:p w14:paraId="2697B9B3" w14:textId="77777777" w:rsidR="005A75AF" w:rsidRPr="00EC2755" w:rsidRDefault="005A75AF" w:rsidP="00D50704">
            <w:pPr>
              <w:spacing w:after="160"/>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Pr>
          <w:p w14:paraId="25BBC7CB" w14:textId="77777777" w:rsidR="005A75AF" w:rsidRPr="00EC2755" w:rsidRDefault="005A75AF" w:rsidP="00D50704">
            <w:pPr>
              <w:spacing w:after="160"/>
              <w:rPr>
                <w:rFonts w:ascii="Calibri" w:hAnsi="Calibri" w:cs="Calibri"/>
                <w:sz w:val="20"/>
                <w:szCs w:val="20"/>
              </w:rPr>
            </w:pPr>
          </w:p>
        </w:tc>
      </w:tr>
      <w:tr w:rsidR="005A75AF" w:rsidRPr="00EC2755" w14:paraId="028AFC2D"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1F03D83B"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Hebron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18B0E5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$48,434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EB3428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$50,375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E0C242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$52,399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2D4211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$54,506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F076F2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$56,714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B3F79A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$59,012</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D2A5FF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$61,414</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DAF98F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$63,916</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48BEB5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$66,532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6CF1CA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$69,258</w:t>
            </w:r>
          </w:p>
        </w:tc>
      </w:tr>
      <w:tr w:rsidR="005A75AF" w:rsidRPr="00EC2755" w14:paraId="6BAEED01"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28F9052B"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Integrated Day</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4480CA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$50,000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B1A3ED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$51,250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8E9350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$52,500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5A49B4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$54,000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6E6843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$55,075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46AB7C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$57,000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D181A1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$58,500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0ACC57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$60,000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F1F033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$62,000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3CA872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$64,500</w:t>
            </w:r>
          </w:p>
        </w:tc>
      </w:tr>
      <w:tr w:rsidR="005A75AF" w:rsidRPr="00EC2755" w14:paraId="170B6AAB"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30C72E69"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ISAAC</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44C2D1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$48,217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96B898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$49,815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D86D6C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$51,462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8EA83F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$53,172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7D61F6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$54,937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C7FAFD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$56,754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989F43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$58,636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C6AE0C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$60,579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B3D593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$62,591</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B93FAD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$64,665</w:t>
            </w:r>
          </w:p>
        </w:tc>
      </w:tr>
      <w:tr w:rsidR="005A75AF" w:rsidRPr="00EC2755" w14:paraId="7ECBBA6E"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2C07E40F"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Kent</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5C4E74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$43,155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DEA0BE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$44,722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6D766B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$46,347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08C9DD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$48,033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D8F809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$49,783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545120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$51,599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5D0484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$53,480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271305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$56,007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B5973E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$58,654</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1C0DC2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$61,432</w:t>
            </w:r>
          </w:p>
        </w:tc>
      </w:tr>
      <w:tr w:rsidR="005A75AF" w:rsidRPr="00EC2755" w14:paraId="0E6354F4"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68BC197A"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Killingly</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32A3F8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$48,972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6D4E31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$52,282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01874D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$55,595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5466E1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$58,906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9FB0F7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$62,218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F8E677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$65,529</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524CCB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$68,842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FCDC1E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$72,154</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3946A5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$76,215</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2FC0B16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$80,354</w:t>
            </w:r>
          </w:p>
        </w:tc>
      </w:tr>
      <w:tr w:rsidR="005A75AF" w:rsidRPr="00EC2755" w14:paraId="51951B35"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13BECA84"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LEARN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96BF46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$47,037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D8D0EE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$48,140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7829AA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$49,292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874AD0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$50,523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F1D9DC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$51,758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E3AF81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$54,515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74D777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$55,825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1ED88B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$57,203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0A1D46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$60,940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B5F498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$62,997</w:t>
            </w:r>
          </w:p>
        </w:tc>
      </w:tr>
      <w:tr w:rsidR="005A75AF" w:rsidRPr="00EC2755" w14:paraId="62E03A5C"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6041A58E"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Lebanon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179289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$48,220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0178AF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$49,953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23BED1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$51,750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0037BC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$53,621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0AF39E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$55,563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D4D6C3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$57,792</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E3D929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$62,486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B2E449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$64,639</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90A072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$68,996</w:t>
            </w:r>
          </w:p>
        </w:tc>
        <w:tc>
          <w:tcPr>
            <w:tcW w:w="0" w:type="auto"/>
            <w:tcBorders>
              <w:top w:val="single" w:sz="8" w:space="0" w:color="000000"/>
              <w:left w:val="single" w:sz="8" w:space="0" w:color="000000"/>
              <w:bottom w:val="single" w:sz="8" w:space="0" w:color="000000"/>
              <w:right w:val="single" w:sz="8" w:space="0" w:color="000000"/>
            </w:tcBorders>
          </w:tcPr>
          <w:p w14:paraId="30C0789F" w14:textId="77777777" w:rsidR="005A75AF" w:rsidRPr="00EC2755" w:rsidRDefault="005A75AF" w:rsidP="00D50704">
            <w:pPr>
              <w:spacing w:after="160"/>
              <w:rPr>
                <w:rFonts w:ascii="Calibri" w:hAnsi="Calibri" w:cs="Calibri"/>
                <w:sz w:val="20"/>
                <w:szCs w:val="20"/>
              </w:rPr>
            </w:pPr>
          </w:p>
        </w:tc>
      </w:tr>
      <w:tr w:rsidR="005A75AF" w:rsidRPr="00EC2755" w14:paraId="2A400BEB" w14:textId="77777777" w:rsidTr="005A75AF">
        <w:trPr>
          <w:trHeight w:val="217"/>
        </w:trPr>
        <w:tc>
          <w:tcPr>
            <w:tcW w:w="0" w:type="auto"/>
            <w:tcBorders>
              <w:top w:val="single" w:sz="8" w:space="0" w:color="000000"/>
              <w:left w:val="single" w:sz="8" w:space="0" w:color="000000"/>
              <w:bottom w:val="single" w:sz="8" w:space="0" w:color="000000"/>
              <w:right w:val="single" w:sz="8" w:space="0" w:color="000000"/>
            </w:tcBorders>
          </w:tcPr>
          <w:p w14:paraId="4F2BCA04"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Ledyard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DF1D93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$50,448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225E93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$52,386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36FE61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$54,397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6DA489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$56,487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F205D1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$58,655</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7A1169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$60,908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9EBD49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$63,248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747F19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$65,676</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E0ADE1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$68,198</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1F68B0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$70,817</w:t>
            </w:r>
          </w:p>
        </w:tc>
      </w:tr>
      <w:tr w:rsidR="005A75AF" w:rsidRPr="00EC2755" w14:paraId="7209C805"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76160CAF"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Lisbon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6F19F5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$56,562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E7BB47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$58,611</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AC7E2F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$60,738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15C245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$62,941</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6EAA69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$65,224</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3060DA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$67,589</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A45AF5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$70,040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E65160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$72,581</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70B88A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$75,212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08539D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$77,941</w:t>
            </w:r>
          </w:p>
        </w:tc>
      </w:tr>
      <w:tr w:rsidR="005A75AF" w:rsidRPr="00EC2755" w14:paraId="1ED380A5"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7C4B67DE"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Litchfield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3DC99D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$53,947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105F5F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$56,543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CB9D52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$58,384</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032291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$60,170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F5ED92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$61,039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4BD94C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$62,855</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802119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$64,784</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26A235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$69,604</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CDA13F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$73,897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53C213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$78,189</w:t>
            </w:r>
          </w:p>
        </w:tc>
      </w:tr>
      <w:tr w:rsidR="005A75AF" w:rsidRPr="00EC2755" w14:paraId="711758CF"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32FAF403"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Madison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06FE82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$52,873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02A5B4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$55,930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3FC088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$56,526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6E0388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$58,926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2E554D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$60,068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2F4354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$62,018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DAD1D6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$64,404</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54E5AE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$67,135</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A0313C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$69,441</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319D54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$71,746</w:t>
            </w:r>
          </w:p>
        </w:tc>
      </w:tr>
      <w:tr w:rsidR="005A75AF" w:rsidRPr="00EC2755" w14:paraId="2DD1D703"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27B6E580"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Manchester</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E8F335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$51,328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6B19AA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$53,160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685B5E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$54,994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2A1421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$56,827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F70D23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$58,661</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63D061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$61,182</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E20254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$64,617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2421A9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$68,240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D02BC8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$71,172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D06ED7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$73,458</w:t>
            </w:r>
          </w:p>
        </w:tc>
      </w:tr>
      <w:tr w:rsidR="005A75AF" w:rsidRPr="00EC2755" w14:paraId="160A44B6"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66325891"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Mansfield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47CA1A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$55,799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C52112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$58,787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368F9A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$60,366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D3F735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$62,217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639608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$64,068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238AED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$65,943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397ACB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$67,770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2CC8EC8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$69,618</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327A66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$71,668</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3288F3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$73,319</w:t>
            </w:r>
          </w:p>
        </w:tc>
      </w:tr>
      <w:tr w:rsidR="005A75AF" w:rsidRPr="00EC2755" w14:paraId="0FFE672C"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22FAC1E7"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Marlborough</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8ED6ED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$56,429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7C2299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$58,148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EC2468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$60,109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E182CC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$62,321</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07B1E5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$64,772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E48E5F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$67,463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2DAA610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$70,419</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C59743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$73,606</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ECCCCB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$77,042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1D6FEE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$80,720</w:t>
            </w:r>
          </w:p>
        </w:tc>
      </w:tr>
      <w:tr w:rsidR="005A75AF" w:rsidRPr="00EC2755" w14:paraId="534D38E3"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2DC8C8BE"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Meriden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AC9FEF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$50,500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247DAD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$51,510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9A36D6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$53,429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DA8051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$55,550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1D7646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$57,368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F3457C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$59,085</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6175CC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$61,711</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94E498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$65,751</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B68A6B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$69,690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8D0F4D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$74,740</w:t>
            </w:r>
          </w:p>
        </w:tc>
      </w:tr>
      <w:tr w:rsidR="005A75AF" w:rsidRPr="00EC2755" w14:paraId="17737860"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548C4E6E"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Middletown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5A9B65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$47,166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AC5F6E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$48,881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79E1C6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$49,779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7B4EB5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$50,780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2B56AD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$52,577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4D03B6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$55,575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382D57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$59,570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D43751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$61,567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FF0DFA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$65,360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6C10F4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$69,152</w:t>
            </w:r>
          </w:p>
        </w:tc>
      </w:tr>
      <w:tr w:rsidR="005A75AF" w:rsidRPr="00EC2755" w14:paraId="586C2C80"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43DDB817"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Milford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BEC338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$52,006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F82A95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$54,047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2A6ADB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$56,084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F633A2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$58,121</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CBA703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$60,222</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770A30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$62,308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72C5A8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$64,403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B9AC6D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$68,212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BCAE41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$72,022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19C68C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$75,833</w:t>
            </w:r>
          </w:p>
        </w:tc>
      </w:tr>
      <w:tr w:rsidR="005A75AF" w:rsidRPr="00EC2755" w14:paraId="4CE746E9"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48F409A9"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Monroe</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523661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$59,654</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A108E6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$61,980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83487B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$64,421</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24695E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$66,853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8F26C0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$69,286</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7282F7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$71,830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BB12AD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$74,365</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6C6433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$76,902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F0C7FA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$76,902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D89DCC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$79,430</w:t>
            </w:r>
          </w:p>
        </w:tc>
      </w:tr>
      <w:tr w:rsidR="005A75AF" w:rsidRPr="00EC2755" w14:paraId="6DF43830"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5F982E36"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Montville</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C31B81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$49,898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A70287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$52,708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BCD3C7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$55,513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B9575E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$58,320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FD8DC2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$61,128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D81ED8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$63,935</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C8314F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$66,739</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BC7F9E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$69,544</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1CC141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$72,352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D2CE25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$76,091</w:t>
            </w:r>
          </w:p>
        </w:tc>
      </w:tr>
      <w:tr w:rsidR="005A75AF" w:rsidRPr="00EC2755" w14:paraId="38DD1E59"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4D1C6AC5"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Naugatuck</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638DF9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$48,557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EE7278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$50,662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4E5622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$52,860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EF35DC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$55,152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960FBB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$57,543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8A6BC8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$60,038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F9B87B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$62,642</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CB18CC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$65,358</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272BBA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$68,192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696F90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$71,149</w:t>
            </w:r>
          </w:p>
        </w:tc>
      </w:tr>
      <w:tr w:rsidR="005A75AF" w:rsidRPr="00EC2755" w14:paraId="4B39D1D9"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15E1FFC5"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New Beginnings</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A1DEE5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$47,293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94CC41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$48,837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10C5DD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$50,431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278914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$52,074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66AA6B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$53,772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48A845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$55,524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1049B0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$57,336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8BB708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$59,205</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9D9760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$61,136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691320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$63,129</w:t>
            </w:r>
          </w:p>
        </w:tc>
      </w:tr>
      <w:tr w:rsidR="005A75AF" w:rsidRPr="00EC2755" w14:paraId="1972C4FF"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0434435C"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New Britain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408C58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$49,477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F8E090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$52,673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6FE4F7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$55,867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53AE82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$59,063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FE9509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$62,256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4C6DAE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$65,451</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2BC87C0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$68,649</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54BD80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$71,842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9ABBEE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$74,623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CC700B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$79,138</w:t>
            </w:r>
          </w:p>
        </w:tc>
      </w:tr>
      <w:tr w:rsidR="005A75AF" w:rsidRPr="00EC2755" w14:paraId="624206CB" w14:textId="77777777" w:rsidTr="005A75AF">
        <w:trPr>
          <w:trHeight w:val="226"/>
        </w:trPr>
        <w:tc>
          <w:tcPr>
            <w:tcW w:w="0" w:type="auto"/>
            <w:tcBorders>
              <w:top w:val="single" w:sz="19" w:space="0" w:color="000000"/>
              <w:left w:val="single" w:sz="8" w:space="0" w:color="000000"/>
              <w:bottom w:val="single" w:sz="8" w:space="0" w:color="000000"/>
              <w:right w:val="single" w:sz="8" w:space="0" w:color="000000"/>
            </w:tcBorders>
          </w:tcPr>
          <w:p w14:paraId="62FC28AD"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New Canaan</w:t>
            </w:r>
          </w:p>
        </w:tc>
        <w:tc>
          <w:tcPr>
            <w:tcW w:w="0" w:type="auto"/>
            <w:tcBorders>
              <w:top w:val="single" w:sz="19" w:space="0" w:color="000000"/>
              <w:left w:val="single" w:sz="8" w:space="0" w:color="000000"/>
              <w:bottom w:val="single" w:sz="8" w:space="0" w:color="000000"/>
              <w:right w:val="single" w:sz="8" w:space="0" w:color="000000"/>
            </w:tcBorders>
            <w:shd w:val="clear" w:color="auto" w:fill="FF0000"/>
          </w:tcPr>
          <w:p w14:paraId="7EB15DF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$51,181</w:t>
            </w:r>
          </w:p>
        </w:tc>
        <w:tc>
          <w:tcPr>
            <w:tcW w:w="0" w:type="auto"/>
            <w:tcBorders>
              <w:top w:val="single" w:sz="19" w:space="0" w:color="000000"/>
              <w:left w:val="single" w:sz="8" w:space="0" w:color="000000"/>
              <w:bottom w:val="single" w:sz="8" w:space="0" w:color="000000"/>
              <w:right w:val="single" w:sz="8" w:space="0" w:color="000000"/>
            </w:tcBorders>
            <w:shd w:val="clear" w:color="auto" w:fill="FF0000"/>
          </w:tcPr>
          <w:p w14:paraId="756EED3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$54,046</w:t>
            </w:r>
          </w:p>
        </w:tc>
        <w:tc>
          <w:tcPr>
            <w:tcW w:w="0" w:type="auto"/>
            <w:tcBorders>
              <w:top w:val="single" w:sz="19" w:space="0" w:color="000000"/>
              <w:left w:val="single" w:sz="8" w:space="0" w:color="000000"/>
              <w:bottom w:val="single" w:sz="8" w:space="0" w:color="000000"/>
              <w:right w:val="single" w:sz="8" w:space="0" w:color="000000"/>
            </w:tcBorders>
            <w:shd w:val="clear" w:color="auto" w:fill="FF0000"/>
          </w:tcPr>
          <w:p w14:paraId="3B8FA6E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$56,920</w:t>
            </w:r>
          </w:p>
        </w:tc>
        <w:tc>
          <w:tcPr>
            <w:tcW w:w="0" w:type="auto"/>
            <w:tcBorders>
              <w:top w:val="single" w:sz="19" w:space="0" w:color="000000"/>
              <w:left w:val="single" w:sz="8" w:space="0" w:color="000000"/>
              <w:bottom w:val="single" w:sz="8" w:space="0" w:color="000000"/>
              <w:right w:val="single" w:sz="8" w:space="0" w:color="000000"/>
            </w:tcBorders>
            <w:shd w:val="clear" w:color="auto" w:fill="FF0000"/>
          </w:tcPr>
          <w:p w14:paraId="1102EE3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$59,817</w:t>
            </w:r>
          </w:p>
        </w:tc>
        <w:tc>
          <w:tcPr>
            <w:tcW w:w="0" w:type="auto"/>
            <w:tcBorders>
              <w:top w:val="single" w:sz="19" w:space="0" w:color="000000"/>
              <w:left w:val="single" w:sz="8" w:space="0" w:color="000000"/>
              <w:bottom w:val="single" w:sz="8" w:space="0" w:color="000000"/>
              <w:right w:val="single" w:sz="8" w:space="0" w:color="000000"/>
            </w:tcBorders>
            <w:shd w:val="clear" w:color="auto" w:fill="FFFF00"/>
          </w:tcPr>
          <w:p w14:paraId="3879AF5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$62,727</w:t>
            </w:r>
          </w:p>
        </w:tc>
        <w:tc>
          <w:tcPr>
            <w:tcW w:w="0" w:type="auto"/>
            <w:tcBorders>
              <w:top w:val="single" w:sz="19" w:space="0" w:color="000000"/>
              <w:left w:val="single" w:sz="8" w:space="0" w:color="000000"/>
              <w:bottom w:val="single" w:sz="8" w:space="0" w:color="000000"/>
              <w:right w:val="single" w:sz="8" w:space="0" w:color="000000"/>
            </w:tcBorders>
            <w:shd w:val="clear" w:color="auto" w:fill="FFFF00"/>
          </w:tcPr>
          <w:p w14:paraId="2F47692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$65,656</w:t>
            </w:r>
          </w:p>
        </w:tc>
        <w:tc>
          <w:tcPr>
            <w:tcW w:w="0" w:type="auto"/>
            <w:tcBorders>
              <w:top w:val="single" w:sz="19" w:space="0" w:color="000000"/>
              <w:left w:val="single" w:sz="8" w:space="0" w:color="000000"/>
              <w:bottom w:val="single" w:sz="8" w:space="0" w:color="000000"/>
              <w:right w:val="single" w:sz="8" w:space="0" w:color="000000"/>
            </w:tcBorders>
            <w:shd w:val="clear" w:color="auto" w:fill="92D050"/>
          </w:tcPr>
          <w:p w14:paraId="6199D5E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$68,600</w:t>
            </w:r>
          </w:p>
        </w:tc>
        <w:tc>
          <w:tcPr>
            <w:tcW w:w="0" w:type="auto"/>
            <w:tcBorders>
              <w:top w:val="single" w:sz="19" w:space="0" w:color="000000"/>
              <w:left w:val="single" w:sz="8" w:space="0" w:color="000000"/>
              <w:bottom w:val="single" w:sz="8" w:space="0" w:color="000000"/>
              <w:right w:val="single" w:sz="8" w:space="0" w:color="000000"/>
            </w:tcBorders>
            <w:shd w:val="clear" w:color="auto" w:fill="92D050"/>
          </w:tcPr>
          <w:p w14:paraId="65AF1B5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$71,924</w:t>
            </w:r>
          </w:p>
        </w:tc>
        <w:tc>
          <w:tcPr>
            <w:tcW w:w="0" w:type="auto"/>
            <w:tcBorders>
              <w:top w:val="single" w:sz="19" w:space="0" w:color="000000"/>
              <w:left w:val="single" w:sz="8" w:space="0" w:color="000000"/>
              <w:bottom w:val="single" w:sz="8" w:space="0" w:color="000000"/>
              <w:right w:val="single" w:sz="8" w:space="0" w:color="000000"/>
            </w:tcBorders>
            <w:shd w:val="clear" w:color="auto" w:fill="92D050"/>
          </w:tcPr>
          <w:p w14:paraId="09B8A31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$75,963</w:t>
            </w:r>
          </w:p>
        </w:tc>
        <w:tc>
          <w:tcPr>
            <w:tcW w:w="0" w:type="auto"/>
            <w:tcBorders>
              <w:top w:val="single" w:sz="19" w:space="0" w:color="000000"/>
              <w:left w:val="single" w:sz="8" w:space="0" w:color="000000"/>
              <w:bottom w:val="single" w:sz="8" w:space="0" w:color="000000"/>
              <w:right w:val="single" w:sz="8" w:space="0" w:color="000000"/>
            </w:tcBorders>
            <w:shd w:val="clear" w:color="auto" w:fill="92D050"/>
          </w:tcPr>
          <w:p w14:paraId="0B554B9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$82,216</w:t>
            </w:r>
          </w:p>
        </w:tc>
      </w:tr>
      <w:tr w:rsidR="005A75AF" w:rsidRPr="00EC2755" w14:paraId="2BE75EFB"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1A0B8E43"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New Fairfield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85D652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$50,560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1FD4CB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$52,584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D7535B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$54,687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49A858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$56,876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701299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$59,152</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2A468E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$61,520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8586B5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$63,983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31A95C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$66,997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DF12E2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$70,406</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884DB8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$75,586</w:t>
            </w:r>
          </w:p>
        </w:tc>
      </w:tr>
      <w:tr w:rsidR="005A75AF" w:rsidRPr="00EC2755" w14:paraId="0F24DC9E"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663383D8"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New Hartford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155EC4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$47,272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857495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$49,231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7A4B89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$51,809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54A3E9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$54,381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C50EAF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$56,740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75409E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$59,390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E0DF2B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$62,042</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825F92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$66,120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3D330D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$70,200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806923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$75,536</w:t>
            </w:r>
          </w:p>
        </w:tc>
      </w:tr>
      <w:tr w:rsidR="005A75AF" w:rsidRPr="00EC2755" w14:paraId="509BEFFB"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1430648E"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New Haven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F8E562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$48,708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28CFE3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$50,246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600BC0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$51,945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53B0A2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$54,156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50236D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$56,409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0FDBAE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$58,719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0F90F7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$61,091</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DD3C56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$63,566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049444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$66,303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25CD50A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$69,176</w:t>
            </w:r>
          </w:p>
        </w:tc>
      </w:tr>
      <w:tr w:rsidR="005A75AF" w:rsidRPr="00EC2755" w14:paraId="0B72D138" w14:textId="77777777" w:rsidTr="005A75AF">
        <w:trPr>
          <w:trHeight w:val="217"/>
        </w:trPr>
        <w:tc>
          <w:tcPr>
            <w:tcW w:w="0" w:type="auto"/>
            <w:tcBorders>
              <w:top w:val="single" w:sz="8" w:space="0" w:color="000000"/>
              <w:left w:val="single" w:sz="8" w:space="0" w:color="000000"/>
              <w:bottom w:val="single" w:sz="8" w:space="0" w:color="000000"/>
              <w:right w:val="single" w:sz="8" w:space="0" w:color="000000"/>
            </w:tcBorders>
          </w:tcPr>
          <w:p w14:paraId="09525DCF"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New London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7E577B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$44,544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92E4CB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$45,324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042134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$46,103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1E9410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$46,877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C6FE3D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$48,549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B8559F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$50,232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5D9E1E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$51,919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2BC2E1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$53,622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840F3A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$55,336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ED0630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$57,374</w:t>
            </w:r>
          </w:p>
        </w:tc>
      </w:tr>
      <w:tr w:rsidR="005A75AF" w:rsidRPr="00EC2755" w14:paraId="40D32E5D"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4ED0F921"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New Milford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1F2522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$52,805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845D8D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$54,121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A9B841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$55,452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B267E9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$56,797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ED2DE1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$58,157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A9EE88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$59,683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D4B6A8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$61,961</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142443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$64,532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6409C6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$67,360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7BDA0E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$70,615</w:t>
            </w:r>
          </w:p>
        </w:tc>
      </w:tr>
      <w:tr w:rsidR="005A75AF" w:rsidRPr="00EC2755" w14:paraId="6821E8EE"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00A67B48"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Newington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DD4364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$47,702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133E3D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$48,709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EB8997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$49,717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AE4511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$51,721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406F1C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$53,892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9777D2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$56,212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807EFD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$58,736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38811C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$61,462</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61F960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$64,397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4CB58F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$67,577</w:t>
            </w:r>
          </w:p>
        </w:tc>
      </w:tr>
      <w:tr w:rsidR="005A75AF" w:rsidRPr="00EC2755" w14:paraId="2A9236E1"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77F1D86F"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Newtown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40922B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$49,672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D84D09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$51,518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B4421F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$54,478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FD75E5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$56,706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44AFB2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$59,733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B9124C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$65,135</w:t>
            </w:r>
          </w:p>
        </w:tc>
        <w:tc>
          <w:tcPr>
            <w:tcW w:w="0" w:type="auto"/>
            <w:tcBorders>
              <w:top w:val="single" w:sz="8" w:space="0" w:color="000000"/>
              <w:left w:val="single" w:sz="8" w:space="0" w:color="000000"/>
              <w:bottom w:val="single" w:sz="8" w:space="0" w:color="000000"/>
              <w:right w:val="single" w:sz="8" w:space="0" w:color="000000"/>
            </w:tcBorders>
          </w:tcPr>
          <w:p w14:paraId="4A3D2044" w14:textId="77777777" w:rsidR="005A75AF" w:rsidRPr="00EC2755" w:rsidRDefault="005A75AF" w:rsidP="00D50704">
            <w:pPr>
              <w:spacing w:after="160"/>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Pr>
          <w:p w14:paraId="260BA41A" w14:textId="77777777" w:rsidR="005A75AF" w:rsidRPr="00EC2755" w:rsidRDefault="005A75AF" w:rsidP="00D50704">
            <w:pPr>
              <w:spacing w:after="160"/>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Pr>
          <w:p w14:paraId="27A3334B" w14:textId="77777777" w:rsidR="005A75AF" w:rsidRPr="00EC2755" w:rsidRDefault="005A75AF" w:rsidP="00D50704">
            <w:pPr>
              <w:spacing w:after="160"/>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Pr>
          <w:p w14:paraId="3AF3806A" w14:textId="77777777" w:rsidR="005A75AF" w:rsidRPr="00EC2755" w:rsidRDefault="005A75AF" w:rsidP="00D50704">
            <w:pPr>
              <w:spacing w:after="160"/>
              <w:rPr>
                <w:rFonts w:ascii="Calibri" w:hAnsi="Calibri" w:cs="Calibri"/>
                <w:sz w:val="20"/>
                <w:szCs w:val="20"/>
              </w:rPr>
            </w:pPr>
          </w:p>
        </w:tc>
      </w:tr>
      <w:tr w:rsidR="005A75AF" w:rsidRPr="00EC2755" w14:paraId="63ADB15E"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46501D72"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Norfolk</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A8671B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$53,250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2C6128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$55,181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3C1F86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$57,191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3641B3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$59,283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27571A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$61,460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E96485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$63,725</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661492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$66,083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D40559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$68,537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81FE4A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$72,152</w:t>
            </w:r>
          </w:p>
        </w:tc>
        <w:tc>
          <w:tcPr>
            <w:tcW w:w="0" w:type="auto"/>
            <w:tcBorders>
              <w:top w:val="single" w:sz="8" w:space="0" w:color="000000"/>
              <w:left w:val="single" w:sz="8" w:space="0" w:color="000000"/>
              <w:bottom w:val="single" w:sz="8" w:space="0" w:color="000000"/>
              <w:right w:val="single" w:sz="8" w:space="0" w:color="000000"/>
            </w:tcBorders>
          </w:tcPr>
          <w:p w14:paraId="2A92FAD6" w14:textId="77777777" w:rsidR="005A75AF" w:rsidRPr="00EC2755" w:rsidRDefault="005A75AF" w:rsidP="00D50704">
            <w:pPr>
              <w:spacing w:after="160"/>
              <w:rPr>
                <w:rFonts w:ascii="Calibri" w:hAnsi="Calibri" w:cs="Calibri"/>
                <w:sz w:val="20"/>
                <w:szCs w:val="20"/>
              </w:rPr>
            </w:pPr>
          </w:p>
        </w:tc>
      </w:tr>
      <w:tr w:rsidR="005A75AF" w:rsidRPr="00EC2755" w14:paraId="36333380"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197A43E2"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North Branford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28AFBB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$49,840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8E6467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$51,840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529E73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$53,840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397613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$55,840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178BAE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$57,840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FA7979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$59,840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B6F945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$61,840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29A733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$63,840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A430C3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$65,840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938E19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$67,840</w:t>
            </w:r>
          </w:p>
        </w:tc>
      </w:tr>
      <w:tr w:rsidR="005A75AF" w:rsidRPr="00EC2755" w14:paraId="390E90EB"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654B8094"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North Canaan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C9087C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$44,501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FB4D6B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$46,170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79E485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$47,902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E4A9A1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$49,720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F06EFD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$51,563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82C433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$53,626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51B06F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$56,046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8E7334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$59,898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8A72D2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$64,755</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07CA68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$68,128</w:t>
            </w:r>
          </w:p>
        </w:tc>
      </w:tr>
      <w:tr w:rsidR="005A75AF" w:rsidRPr="00EC2755" w14:paraId="7046EEFB"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7EDA6075"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North Haven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AB3679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$46,954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F999B5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$48,747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2EA2FA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$50,609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D31FC3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$52,541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1A6BEC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$54,548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4F098A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$56,631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D1C19E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$58,793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A1A7C5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$61,039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5213C7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$63,371</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719B52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$69,041</w:t>
            </w:r>
          </w:p>
        </w:tc>
      </w:tr>
      <w:tr w:rsidR="005A75AF" w:rsidRPr="00EC2755" w14:paraId="1A7DB476"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6C4B0945"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North Stonington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5AF801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$45,459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8D2057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$47,676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C27890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$50,002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3C0CE9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$52,442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6C2A39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$55,000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409BF4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$57,684</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4FCCDB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$60,499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16C5F5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$63,451</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592442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$66,548</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74C705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$69,390</w:t>
            </w:r>
          </w:p>
        </w:tc>
      </w:tr>
      <w:tr w:rsidR="005A75AF" w:rsidRPr="00EC2755" w14:paraId="0D989E12"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6380CEF5"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Norwalk</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F9080C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$50,948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5A8D16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$52,184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875E2A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$53,699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D8463F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$55,970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AFC42D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$58,242</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A9DF85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$60,765</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94D1C9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$63,289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E4D9D0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$66,405</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28CD6E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$69,347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01E185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$70,861</w:t>
            </w:r>
          </w:p>
        </w:tc>
      </w:tr>
      <w:tr w:rsidR="005A75AF" w:rsidRPr="00EC2755" w14:paraId="7AFE1722"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32F4D190"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Norwich</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5183D8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$51,118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DFE4BE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$52,733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FB386C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$53,811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5459B2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$54,998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A5D85A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$57,051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0DE104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$58,762</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222F96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$61,836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2C722E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$64,913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C922E1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$68,926</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EFFEB9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$72,813</w:t>
            </w:r>
          </w:p>
        </w:tc>
      </w:tr>
      <w:tr w:rsidR="005A75AF" w:rsidRPr="00EC2755" w14:paraId="73B3A5AE"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00CA694B"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Norwich Free Academy</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036121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$51,922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562321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$53,724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32860E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$55,528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F1AD29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$57,686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30CCB3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$59,494</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CDBB7F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$61,292</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42E770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$63,100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598F34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$65,620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7BAADD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$69,224</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FAABA2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$73,678</w:t>
            </w:r>
          </w:p>
        </w:tc>
      </w:tr>
      <w:tr w:rsidR="005A75AF" w:rsidRPr="00EC2755" w14:paraId="4E506081"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4DE803AA"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 xml:space="preserve">Old </w:t>
            </w:r>
            <w:proofErr w:type="spellStart"/>
            <w:r w:rsidRPr="00EC2755">
              <w:rPr>
                <w:rFonts w:ascii="Calibri" w:hAnsi="Calibri" w:cs="Calibri"/>
                <w:sz w:val="20"/>
                <w:szCs w:val="20"/>
              </w:rPr>
              <w:t>Saybrook</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8E1698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$49,138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A9B031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$50,403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7D1698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$51,669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7CA75C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$52,934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D141D7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$54,201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7BA57F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$55,465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2CD3F0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$57,073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6F7AE0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$58,729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6DC557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$60,783</w:t>
            </w:r>
          </w:p>
        </w:tc>
        <w:tc>
          <w:tcPr>
            <w:tcW w:w="0" w:type="auto"/>
            <w:tcBorders>
              <w:top w:val="single" w:sz="8" w:space="0" w:color="000000"/>
              <w:left w:val="single" w:sz="8" w:space="0" w:color="000000"/>
              <w:bottom w:val="single" w:sz="8" w:space="0" w:color="000000"/>
              <w:right w:val="single" w:sz="8" w:space="0" w:color="000000"/>
            </w:tcBorders>
          </w:tcPr>
          <w:p w14:paraId="0DC80ABB" w14:textId="77777777" w:rsidR="005A75AF" w:rsidRPr="00EC2755" w:rsidRDefault="005A75AF" w:rsidP="00D50704">
            <w:pPr>
              <w:spacing w:after="160"/>
              <w:rPr>
                <w:rFonts w:ascii="Calibri" w:hAnsi="Calibri" w:cs="Calibri"/>
                <w:sz w:val="20"/>
                <w:szCs w:val="20"/>
              </w:rPr>
            </w:pPr>
          </w:p>
        </w:tc>
      </w:tr>
      <w:tr w:rsidR="005A75AF" w:rsidRPr="00EC2755" w14:paraId="17000F20"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7C931405"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Orange</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173F7E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$50,642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8F95A8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$52,496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112436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$54,425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4AFE0B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$55,631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A4DA03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$56,830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F07DA2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$58,436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B4926B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$60,153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05E3F4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$62,387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AAF2F2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$65,304</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DB0141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$69,257</w:t>
            </w:r>
          </w:p>
        </w:tc>
      </w:tr>
      <w:tr w:rsidR="005A75AF" w:rsidRPr="00EC2755" w14:paraId="387813E4"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785104D4"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Oxford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73340C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$49,409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4493DF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$51,257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8DA98C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$53,741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524BE2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$56,347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DA085B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$59,080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235736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$61,945</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798EE5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$64,950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0FB603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$68,100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6A7AA3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$71,403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293A310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$74,865</w:t>
            </w:r>
          </w:p>
        </w:tc>
      </w:tr>
      <w:tr w:rsidR="005A75AF" w:rsidRPr="00EC2755" w14:paraId="38ED58EB"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719FE1B3"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Plainfield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DA281F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$44,880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E61D1C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$45,900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9B8A2D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$47,124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B4C081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$49,266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EE043F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$51,306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C9BFEC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$53,856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789B3A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$56,406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8BD7FF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$59,466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8E2AAA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$63,546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AB8A70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$66,300</w:t>
            </w:r>
          </w:p>
        </w:tc>
      </w:tr>
      <w:tr w:rsidR="005A75AF" w:rsidRPr="00EC2755" w14:paraId="7A73B038"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0478F5E2"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Plainville</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F7D8FA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$48,033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EFCEE7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$49,451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855C55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$50,908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D8080B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$52,156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5D775E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$53,692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5D1FA7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$55,276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381F31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$56,909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B57364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$58,589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BCA573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$60,315</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C8020B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$62,165</w:t>
            </w:r>
          </w:p>
        </w:tc>
      </w:tr>
      <w:tr w:rsidR="005A75AF" w:rsidRPr="00EC2755" w14:paraId="4BDF9A1F"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433C46D6"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Plymouth</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A76483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$46,009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6BC98C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$47,580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C3EED6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$49,150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525743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$50,721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8E80A8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$52,293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8E84E0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$53,864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30762B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$55,433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D62514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$57,005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FD5125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$58,576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C2D95F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$60,147</w:t>
            </w:r>
          </w:p>
        </w:tc>
      </w:tr>
      <w:tr w:rsidR="005A75AF" w:rsidRPr="00EC2755" w14:paraId="082918C8"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5C286C3B"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Pomfret</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5CCEC8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$52,161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19AA96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$54,220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56163E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$56,278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4436C0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$58,751</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993A50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$61,222</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02ED3A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$63,692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F79E2D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$66,575</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1FF342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$69,456</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680C04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$73,353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45CD37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$75,995</w:t>
            </w:r>
          </w:p>
        </w:tc>
      </w:tr>
      <w:tr w:rsidR="005A75AF" w:rsidRPr="00EC2755" w14:paraId="2E1E5E75"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2BA86C00"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Portland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744107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$47,735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937B41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$49,198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904A5B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$50,698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255D1F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$52,365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163E57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$54,598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065E03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$57,517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F5694D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$60,961</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799ACB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$64,406</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D82C3F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$67,850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CA3AC8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$71,295</w:t>
            </w:r>
          </w:p>
        </w:tc>
      </w:tr>
      <w:tr w:rsidR="005A75AF" w:rsidRPr="00EC2755" w14:paraId="0B97283A"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5E1A76F5"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Preston</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85287A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$55,232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12A9B5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$55,928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A95F64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$56,628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615D8F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$57,326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F302C2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$58,021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61BB50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$58,726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FFBCE7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$59,423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A2C82A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$60,894</w:t>
            </w:r>
          </w:p>
        </w:tc>
        <w:tc>
          <w:tcPr>
            <w:tcW w:w="0" w:type="auto"/>
            <w:tcBorders>
              <w:top w:val="single" w:sz="8" w:space="0" w:color="000000"/>
              <w:left w:val="single" w:sz="8" w:space="0" w:color="000000"/>
              <w:bottom w:val="single" w:sz="8" w:space="0" w:color="000000"/>
              <w:right w:val="single" w:sz="8" w:space="0" w:color="000000"/>
            </w:tcBorders>
          </w:tcPr>
          <w:p w14:paraId="189DD96D" w14:textId="77777777" w:rsidR="005A75AF" w:rsidRPr="00EC2755" w:rsidRDefault="005A75AF" w:rsidP="00D50704">
            <w:pPr>
              <w:spacing w:after="160"/>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Pr>
          <w:p w14:paraId="7AAAF573" w14:textId="77777777" w:rsidR="005A75AF" w:rsidRPr="00EC2755" w:rsidRDefault="005A75AF" w:rsidP="00D50704">
            <w:pPr>
              <w:spacing w:after="160"/>
              <w:rPr>
                <w:rFonts w:ascii="Calibri" w:hAnsi="Calibri" w:cs="Calibri"/>
                <w:sz w:val="20"/>
                <w:szCs w:val="20"/>
              </w:rPr>
            </w:pPr>
          </w:p>
        </w:tc>
      </w:tr>
      <w:tr w:rsidR="005A75AF" w:rsidRPr="00EC2755" w14:paraId="6E63E927"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40EEFED4"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Putnam</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BB2E8F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$51,602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9A0901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$54,027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FC5ABC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$56,567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D5D070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$59,226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4E387D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$62,114</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7DFE77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$64,927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3C0040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$67,979</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866FF5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$69,734</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25EB06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$73,368</w:t>
            </w:r>
          </w:p>
        </w:tc>
        <w:tc>
          <w:tcPr>
            <w:tcW w:w="0" w:type="auto"/>
            <w:tcBorders>
              <w:top w:val="single" w:sz="8" w:space="0" w:color="000000"/>
              <w:left w:val="single" w:sz="8" w:space="0" w:color="000000"/>
              <w:bottom w:val="single" w:sz="8" w:space="0" w:color="000000"/>
              <w:right w:val="single" w:sz="8" w:space="0" w:color="000000"/>
            </w:tcBorders>
          </w:tcPr>
          <w:p w14:paraId="75A24CA9" w14:textId="77777777" w:rsidR="005A75AF" w:rsidRPr="00EC2755" w:rsidRDefault="005A75AF" w:rsidP="00D50704">
            <w:pPr>
              <w:spacing w:after="160"/>
              <w:rPr>
                <w:rFonts w:ascii="Calibri" w:hAnsi="Calibri" w:cs="Calibri"/>
                <w:sz w:val="20"/>
                <w:szCs w:val="20"/>
              </w:rPr>
            </w:pPr>
          </w:p>
        </w:tc>
      </w:tr>
      <w:tr w:rsidR="005A75AF" w:rsidRPr="00EC2755" w14:paraId="665AC52E" w14:textId="77777777" w:rsidTr="005A75AF">
        <w:trPr>
          <w:trHeight w:val="217"/>
        </w:trPr>
        <w:tc>
          <w:tcPr>
            <w:tcW w:w="0" w:type="auto"/>
            <w:tcBorders>
              <w:top w:val="single" w:sz="8" w:space="0" w:color="000000"/>
              <w:left w:val="single" w:sz="8" w:space="0" w:color="000000"/>
              <w:bottom w:val="single" w:sz="8" w:space="0" w:color="000000"/>
              <w:right w:val="single" w:sz="8" w:space="0" w:color="000000"/>
            </w:tcBorders>
          </w:tcPr>
          <w:p w14:paraId="09F45D74"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Redding</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EB1EE5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$49,118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B11C9E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$50,314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47BD9F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$52,619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E65CF4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$54,925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2CD4B2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$56,078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8C9F7A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$57,231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72DC61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$59,535</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216233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$61,841</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6520FA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$62,993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52E901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$64,145</w:t>
            </w:r>
          </w:p>
        </w:tc>
      </w:tr>
      <w:tr w:rsidR="005A75AF" w:rsidRPr="00EC2755" w14:paraId="7161FB34"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434B5518"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Region 01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C0C5C5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$49,691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13EB77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$51,936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E12205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$54,282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8703D1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$56,733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4E57D9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$59,296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310E87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$61,974</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AB2334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$64,773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166312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$67,698</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877FFB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$70,756</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E997D1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$73,952</w:t>
            </w:r>
          </w:p>
        </w:tc>
      </w:tr>
      <w:tr w:rsidR="005A75AF" w:rsidRPr="00EC2755" w14:paraId="6C2014BD"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56EEFE23"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Region 04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998757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$51,414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8DFD7A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$53,471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E6232E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$55,610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847E26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$57,834</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8C6118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$60,147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19BBFD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$62,553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F1B536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$65,055</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65A738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$67,657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70EBA0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$70,363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B02F93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$73,178</w:t>
            </w:r>
          </w:p>
        </w:tc>
      </w:tr>
      <w:tr w:rsidR="005A75AF" w:rsidRPr="00EC2755" w14:paraId="2554CF2E"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25C87B71"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Region 05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7345D5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$46,968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EEEA54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$49,124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447959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$51,378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942CB4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$53,737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27D1B3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$56,203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489DE3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$58,783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81E46D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$61,481</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1C90405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$64,303</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500C66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$67,255</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9C77EB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$70,342</w:t>
            </w:r>
          </w:p>
        </w:tc>
      </w:tr>
      <w:tr w:rsidR="005A75AF" w:rsidRPr="00EC2755" w14:paraId="13D19D8A"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419CE0FE"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Region 06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A703C7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$46,525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ECCE3B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$47,863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549DE8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$49,387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DEB515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$50,915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79C3E1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$52,440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006B6C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$53,995</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C9E892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$61,041</w:t>
            </w:r>
          </w:p>
        </w:tc>
        <w:tc>
          <w:tcPr>
            <w:tcW w:w="0" w:type="auto"/>
            <w:tcBorders>
              <w:top w:val="single" w:sz="8" w:space="0" w:color="000000"/>
              <w:left w:val="single" w:sz="8" w:space="0" w:color="000000"/>
              <w:bottom w:val="single" w:sz="8" w:space="0" w:color="000000"/>
              <w:right w:val="single" w:sz="8" w:space="0" w:color="000000"/>
            </w:tcBorders>
          </w:tcPr>
          <w:p w14:paraId="29011C27" w14:textId="77777777" w:rsidR="005A75AF" w:rsidRPr="00EC2755" w:rsidRDefault="005A75AF" w:rsidP="00D50704">
            <w:pPr>
              <w:spacing w:after="160"/>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Pr>
          <w:p w14:paraId="2AA1BC5E" w14:textId="77777777" w:rsidR="005A75AF" w:rsidRPr="00EC2755" w:rsidRDefault="005A75AF" w:rsidP="00D50704">
            <w:pPr>
              <w:spacing w:after="160"/>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Pr>
          <w:p w14:paraId="19C41E78" w14:textId="77777777" w:rsidR="005A75AF" w:rsidRPr="00EC2755" w:rsidRDefault="005A75AF" w:rsidP="00D50704">
            <w:pPr>
              <w:spacing w:after="160"/>
              <w:rPr>
                <w:rFonts w:ascii="Calibri" w:hAnsi="Calibri" w:cs="Calibri"/>
                <w:sz w:val="20"/>
                <w:szCs w:val="20"/>
              </w:rPr>
            </w:pPr>
          </w:p>
        </w:tc>
      </w:tr>
      <w:tr w:rsidR="005A75AF" w:rsidRPr="00EC2755" w14:paraId="66FD7B9C"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6B957698"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Region 07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FF39FA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$45,629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0409C0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$47,947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9AE10D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$50,383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5C88AE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$52,942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984A8D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$55,632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14EF8E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$58,458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DB0A9B7"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$61,427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D6B907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$64,548</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29328C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$67,827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28F856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$71,272</w:t>
            </w:r>
          </w:p>
        </w:tc>
      </w:tr>
      <w:tr w:rsidR="005A75AF" w:rsidRPr="00EC2755" w14:paraId="272BA4B8"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257BFC8B"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Region 08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094376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$47,749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11EABF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$49,216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0B7B6A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$50,727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2E7578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$52,285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015794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$53,890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2D9C10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$55,544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6CFF50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$57,249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2F7D73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$59,008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907883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$60,820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1013A7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$62,686</w:t>
            </w:r>
          </w:p>
        </w:tc>
      </w:tr>
      <w:tr w:rsidR="005A75AF" w:rsidRPr="00EC2755" w14:paraId="751F563A"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505AEC01"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Region 09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B1CBA7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$58,043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8295B9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$60,776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5AA8D56"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$63,976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AFCF6E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$65,784</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2598F3E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$67,644</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7D0D12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$69,558</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20F4E43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$71,524</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DE4E9F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$73,472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01F0F24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$75,937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138BCC0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$78,896</w:t>
            </w:r>
          </w:p>
        </w:tc>
      </w:tr>
      <w:tr w:rsidR="005A75AF" w:rsidRPr="00EC2755" w14:paraId="0DCF4778"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4E3BE18F"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Region 10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A4919C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$46,240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16E66D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$47,752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36C42D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$49,315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B4DDC5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$50,645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50A0CE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$52,165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D9EE9E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$53,715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47FAB2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$55,465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0D6543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$59,607</w:t>
            </w:r>
          </w:p>
        </w:tc>
        <w:tc>
          <w:tcPr>
            <w:tcW w:w="0" w:type="auto"/>
            <w:tcBorders>
              <w:top w:val="single" w:sz="8" w:space="0" w:color="000000"/>
              <w:left w:val="single" w:sz="8" w:space="0" w:color="000000"/>
              <w:bottom w:val="single" w:sz="8" w:space="0" w:color="000000"/>
              <w:right w:val="single" w:sz="8" w:space="0" w:color="000000"/>
            </w:tcBorders>
          </w:tcPr>
          <w:p w14:paraId="1969491A" w14:textId="77777777" w:rsidR="005A75AF" w:rsidRPr="00EC2755" w:rsidRDefault="005A75AF" w:rsidP="00D50704">
            <w:pPr>
              <w:spacing w:after="160"/>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Pr>
          <w:p w14:paraId="772627BC" w14:textId="77777777" w:rsidR="005A75AF" w:rsidRPr="00EC2755" w:rsidRDefault="005A75AF" w:rsidP="00D50704">
            <w:pPr>
              <w:spacing w:after="160"/>
              <w:rPr>
                <w:rFonts w:ascii="Calibri" w:hAnsi="Calibri" w:cs="Calibri"/>
                <w:sz w:val="20"/>
                <w:szCs w:val="20"/>
              </w:rPr>
            </w:pPr>
          </w:p>
        </w:tc>
      </w:tr>
      <w:tr w:rsidR="005A75AF" w:rsidRPr="00EC2755" w14:paraId="20EEE6FD"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63F576EC"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Region 11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AE01BA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$47,874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2914F9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$49,088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BA7856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$51,333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4B6DFE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$53,230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6B835A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$55,912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3EFED62"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$58,995</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5672CA0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$62,079</w:t>
            </w:r>
          </w:p>
        </w:tc>
        <w:tc>
          <w:tcPr>
            <w:tcW w:w="0" w:type="auto"/>
            <w:tcBorders>
              <w:top w:val="single" w:sz="8" w:space="0" w:color="000000"/>
              <w:left w:val="single" w:sz="8" w:space="0" w:color="000000"/>
              <w:bottom w:val="single" w:sz="8" w:space="0" w:color="000000"/>
              <w:right w:val="single" w:sz="8" w:space="0" w:color="000000"/>
            </w:tcBorders>
          </w:tcPr>
          <w:p w14:paraId="0CBC5684" w14:textId="77777777" w:rsidR="005A75AF" w:rsidRPr="00EC2755" w:rsidRDefault="005A75AF" w:rsidP="00D50704">
            <w:pPr>
              <w:spacing w:after="160"/>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Pr>
          <w:p w14:paraId="304FCABD" w14:textId="77777777" w:rsidR="005A75AF" w:rsidRPr="00EC2755" w:rsidRDefault="005A75AF" w:rsidP="00D50704">
            <w:pPr>
              <w:spacing w:after="160"/>
              <w:rPr>
                <w:rFonts w:ascii="Calibri" w:hAnsi="Calibri" w:cs="Calibri"/>
                <w:sz w:val="20"/>
                <w:szCs w:val="20"/>
              </w:rPr>
            </w:pPr>
          </w:p>
        </w:tc>
        <w:tc>
          <w:tcPr>
            <w:tcW w:w="0" w:type="auto"/>
            <w:tcBorders>
              <w:top w:val="single" w:sz="8" w:space="0" w:color="000000"/>
              <w:left w:val="single" w:sz="8" w:space="0" w:color="000000"/>
              <w:bottom w:val="single" w:sz="8" w:space="0" w:color="000000"/>
              <w:right w:val="single" w:sz="8" w:space="0" w:color="000000"/>
            </w:tcBorders>
          </w:tcPr>
          <w:p w14:paraId="002184C3" w14:textId="77777777" w:rsidR="005A75AF" w:rsidRPr="00EC2755" w:rsidRDefault="005A75AF" w:rsidP="00D50704">
            <w:pPr>
              <w:spacing w:after="160"/>
              <w:rPr>
                <w:rFonts w:ascii="Calibri" w:hAnsi="Calibri" w:cs="Calibri"/>
                <w:sz w:val="20"/>
                <w:szCs w:val="20"/>
              </w:rPr>
            </w:pPr>
          </w:p>
        </w:tc>
      </w:tr>
      <w:tr w:rsidR="005A75AF" w:rsidRPr="00EC2755" w14:paraId="1EB1664A"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08202998"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Region 12</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4E8582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$52,025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089AE6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$53,469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CF452A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$54,867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414859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$56,874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25614D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$59,673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B69BF3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$61,806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2D87AC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$63,943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5EB75D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$66,076</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2515A15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$68,211</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9DC2CD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$70,343</w:t>
            </w:r>
          </w:p>
        </w:tc>
      </w:tr>
      <w:tr w:rsidR="005A75AF" w:rsidRPr="00EC2755" w14:paraId="7E58B697"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16ADD61D"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Region 13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5FBD6F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$55,506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972F063"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$57,513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97CEF5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$59,521</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8F5B8B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$61,529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75BCFAF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$63,536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6DF5649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$65,542</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A210D5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$67,550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6109684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$69,557</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0F2ED2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$71,564</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4281885A"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$73,573</w:t>
            </w:r>
          </w:p>
        </w:tc>
      </w:tr>
      <w:tr w:rsidR="005A75AF" w:rsidRPr="00EC2755" w14:paraId="31DE6AFD"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2C61AD27"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Region 14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A3C730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$47,495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C15C6C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$49,320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A77CE6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$51,238</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13741C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$53,253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FE2634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$55,363</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B067BCC"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$57,561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2C80A0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$59,380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F350B2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$61,418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0FAA16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$65,155</w:t>
            </w:r>
          </w:p>
        </w:tc>
        <w:tc>
          <w:tcPr>
            <w:tcW w:w="0" w:type="auto"/>
            <w:tcBorders>
              <w:top w:val="single" w:sz="8" w:space="0" w:color="000000"/>
              <w:left w:val="single" w:sz="8" w:space="0" w:color="000000"/>
              <w:bottom w:val="single" w:sz="8" w:space="0" w:color="000000"/>
              <w:right w:val="single" w:sz="8" w:space="0" w:color="000000"/>
            </w:tcBorders>
          </w:tcPr>
          <w:p w14:paraId="6A0DE386" w14:textId="77777777" w:rsidR="005A75AF" w:rsidRPr="00EC2755" w:rsidRDefault="005A75AF" w:rsidP="00D50704">
            <w:pPr>
              <w:spacing w:after="160"/>
              <w:rPr>
                <w:rFonts w:ascii="Calibri" w:hAnsi="Calibri" w:cs="Calibri"/>
                <w:sz w:val="20"/>
                <w:szCs w:val="20"/>
              </w:rPr>
            </w:pPr>
          </w:p>
        </w:tc>
      </w:tr>
      <w:tr w:rsidR="005A75AF" w:rsidRPr="00EC2755" w14:paraId="52415C40"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3CBB478C"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Region 15</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7B4A55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$49,367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6836FDF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$51,294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20BB1D4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$53,099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55F912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$54,969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E51376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$56,894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0CC72BE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$58,819</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FEC33D4"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$60,745</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338D2FF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$62,668</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4A7622C5"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$64,596</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3120CC10"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$67,807</w:t>
            </w:r>
          </w:p>
        </w:tc>
      </w:tr>
      <w:tr w:rsidR="005A75AF" w:rsidRPr="00EC2755" w14:paraId="566D1182" w14:textId="77777777" w:rsidTr="005A75AF">
        <w:trPr>
          <w:trHeight w:val="216"/>
        </w:trPr>
        <w:tc>
          <w:tcPr>
            <w:tcW w:w="0" w:type="auto"/>
            <w:tcBorders>
              <w:top w:val="single" w:sz="8" w:space="0" w:color="000000"/>
              <w:left w:val="single" w:sz="8" w:space="0" w:color="000000"/>
              <w:bottom w:val="single" w:sz="8" w:space="0" w:color="000000"/>
              <w:right w:val="single" w:sz="8" w:space="0" w:color="000000"/>
            </w:tcBorders>
          </w:tcPr>
          <w:p w14:paraId="307CE64E" w14:textId="77777777" w:rsidR="005A75AF" w:rsidRPr="00EC2755" w:rsidRDefault="005A75AF" w:rsidP="00D50704">
            <w:pPr>
              <w:ind w:left="31"/>
              <w:rPr>
                <w:rFonts w:ascii="Calibri" w:hAnsi="Calibri" w:cs="Calibri"/>
                <w:sz w:val="20"/>
                <w:szCs w:val="20"/>
              </w:rPr>
            </w:pPr>
            <w:r w:rsidRPr="00EC2755">
              <w:rPr>
                <w:rFonts w:ascii="Calibri" w:hAnsi="Calibri" w:cs="Calibri"/>
                <w:sz w:val="20"/>
                <w:szCs w:val="20"/>
              </w:rPr>
              <w:t>Region 16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429C1D1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$50,419</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A15FF7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$51,310</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38F70DFE"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$52,511</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78E089EF"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$53,814</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59188CA9"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$55,107</w:t>
            </w:r>
          </w:p>
        </w:tc>
        <w:tc>
          <w:tcPr>
            <w:tcW w:w="0" w:type="auto"/>
            <w:tcBorders>
              <w:top w:val="single" w:sz="8" w:space="0" w:color="000000"/>
              <w:left w:val="single" w:sz="8" w:space="0" w:color="000000"/>
              <w:bottom w:val="single" w:sz="8" w:space="0" w:color="000000"/>
              <w:right w:val="single" w:sz="8" w:space="0" w:color="000000"/>
            </w:tcBorders>
            <w:shd w:val="clear" w:color="auto" w:fill="FF0000"/>
          </w:tcPr>
          <w:p w14:paraId="1DD90C8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$57,692</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2AC28EC8"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$60,500</w:t>
            </w:r>
          </w:p>
        </w:tc>
        <w:tc>
          <w:tcPr>
            <w:tcW w:w="0" w:type="auto"/>
            <w:tcBorders>
              <w:top w:val="single" w:sz="8" w:space="0" w:color="000000"/>
              <w:left w:val="single" w:sz="8" w:space="0" w:color="000000"/>
              <w:bottom w:val="single" w:sz="8" w:space="0" w:color="000000"/>
              <w:right w:val="single" w:sz="8" w:space="0" w:color="000000"/>
            </w:tcBorders>
            <w:shd w:val="clear" w:color="auto" w:fill="FFFF00"/>
          </w:tcPr>
          <w:p w14:paraId="04EC4C2D"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$63,840</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783312B1"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$67,716</w:t>
            </w:r>
          </w:p>
        </w:tc>
        <w:tc>
          <w:tcPr>
            <w:tcW w:w="0" w:type="auto"/>
            <w:tcBorders>
              <w:top w:val="single" w:sz="8" w:space="0" w:color="000000"/>
              <w:left w:val="single" w:sz="8" w:space="0" w:color="000000"/>
              <w:bottom w:val="single" w:sz="8" w:space="0" w:color="000000"/>
              <w:right w:val="single" w:sz="8" w:space="0" w:color="000000"/>
            </w:tcBorders>
            <w:shd w:val="clear" w:color="auto" w:fill="92D050"/>
          </w:tcPr>
          <w:p w14:paraId="5A6100EB" w14:textId="77777777" w:rsidR="005A75AF" w:rsidRPr="00EC2755" w:rsidRDefault="005A75AF" w:rsidP="00D50704">
            <w:pPr>
              <w:ind w:right="10"/>
              <w:jc w:val="right"/>
              <w:rPr>
                <w:rFonts w:ascii="Calibri" w:hAnsi="Calibri" w:cs="Calibri"/>
                <w:sz w:val="20"/>
                <w:szCs w:val="20"/>
              </w:rPr>
            </w:pPr>
            <w:r w:rsidRPr="00EC2755">
              <w:rPr>
                <w:rFonts w:ascii="Calibri" w:hAnsi="Calibri" w:cs="Calibri"/>
                <w:sz w:val="20"/>
                <w:szCs w:val="20"/>
              </w:rPr>
              <w:t>$71,592</w:t>
            </w:r>
          </w:p>
        </w:tc>
      </w:tr>
    </w:tbl>
    <w:p w14:paraId="2053788E" w14:textId="77777777" w:rsidR="005A75AF" w:rsidRPr="00215E56" w:rsidRDefault="005A75AF" w:rsidP="00C968EA">
      <w:pPr>
        <w:rPr>
          <w:rFonts w:ascii="Times New Roman" w:eastAsia="Times New Roman" w:hAnsi="Times New Roman" w:cs="Times New Roman"/>
          <w:kern w:val="0"/>
          <w14:ligatures w14:val="none"/>
        </w:rPr>
      </w:pPr>
    </w:p>
    <w:sectPr w:rsidR="005A75AF" w:rsidRPr="00215E56" w:rsidSect="00745756">
      <w:head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5D890" w14:textId="77777777" w:rsidR="00745756" w:rsidRDefault="00745756" w:rsidP="00AA7436">
      <w:r>
        <w:separator/>
      </w:r>
    </w:p>
  </w:endnote>
  <w:endnote w:type="continuationSeparator" w:id="0">
    <w:p w14:paraId="47C5E3CF" w14:textId="77777777" w:rsidR="00745756" w:rsidRDefault="00745756" w:rsidP="00AA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2063" w14:textId="77777777" w:rsidR="00AA7436" w:rsidRDefault="00AA7436">
    <w:pPr>
      <w:pStyle w:val="Footer"/>
    </w:pPr>
    <w:r>
      <w:rPr>
        <w:noProof/>
      </w:rPr>
      <w:drawing>
        <wp:anchor distT="0" distB="0" distL="114300" distR="114300" simplePos="0" relativeHeight="251659264" behindDoc="0" locked="0" layoutInCell="1" allowOverlap="1" wp14:anchorId="18DB682A" wp14:editId="3437DBDD">
          <wp:simplePos x="0" y="0"/>
          <wp:positionH relativeFrom="page">
            <wp:posOffset>167217</wp:posOffset>
          </wp:positionH>
          <wp:positionV relativeFrom="page">
            <wp:posOffset>9092565</wp:posOffset>
          </wp:positionV>
          <wp:extent cx="7671816" cy="1014984"/>
          <wp:effectExtent l="0" t="0" r="0" b="1270"/>
          <wp:wrapSquare wrapText="bothSides"/>
          <wp:docPr id="721745478"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745478" name="Picture 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71816" cy="101498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CF38" w14:textId="77777777" w:rsidR="00745756" w:rsidRDefault="00745756" w:rsidP="00AA7436">
      <w:r>
        <w:separator/>
      </w:r>
    </w:p>
  </w:footnote>
  <w:footnote w:type="continuationSeparator" w:id="0">
    <w:p w14:paraId="4CA1CBBE" w14:textId="77777777" w:rsidR="00745756" w:rsidRDefault="00745756" w:rsidP="00AA7436">
      <w:r>
        <w:continuationSeparator/>
      </w:r>
    </w:p>
  </w:footnote>
  <w:footnote w:id="1">
    <w:p w14:paraId="36E766B4" w14:textId="77777777" w:rsidR="005A75AF" w:rsidRDefault="005A75AF" w:rsidP="005A75AF">
      <w:pPr>
        <w:pStyle w:val="FootnoteText"/>
      </w:pPr>
      <w:r>
        <w:rPr>
          <w:rStyle w:val="FootnoteReference"/>
        </w:rPr>
        <w:footnoteRef/>
      </w:r>
      <w:r>
        <w:t xml:space="preserve"> </w:t>
      </w:r>
      <w:r w:rsidRPr="005157E4">
        <w:rPr>
          <w:sz w:val="18"/>
          <w:szCs w:val="18"/>
        </w:rPr>
        <w:t xml:space="preserve">Connecticut General Assembly, Legislative Program Review and Investigations Committee, “Educator Professional Standards Boards” (2012) See </w:t>
      </w:r>
      <w:hyperlink r:id="rId1" w:history="1">
        <w:r w:rsidRPr="005157E4">
          <w:rPr>
            <w:rStyle w:val="Hyperlink"/>
            <w:sz w:val="18"/>
            <w:szCs w:val="18"/>
          </w:rPr>
          <w:t>https://www.cga.ct.gov/pri/archives/epsb/20120124FINAL_Full.PDF</w:t>
        </w:r>
      </w:hyperlink>
      <w:r w:rsidRPr="005157E4">
        <w:rPr>
          <w:sz w:val="18"/>
          <w:szCs w:val="18"/>
        </w:rPr>
        <w:t xml:space="preserve"> </w:t>
      </w:r>
    </w:p>
  </w:footnote>
  <w:footnote w:id="2">
    <w:p w14:paraId="665BC5E1" w14:textId="77777777" w:rsidR="005A75AF" w:rsidRDefault="005A75AF" w:rsidP="005A75AF">
      <w:pPr>
        <w:pStyle w:val="FootnoteText"/>
      </w:pPr>
      <w:r>
        <w:rPr>
          <w:rStyle w:val="FootnoteReference"/>
        </w:rPr>
        <w:footnoteRef/>
      </w:r>
      <w:r>
        <w:t xml:space="preserve"> </w:t>
      </w:r>
      <w:r w:rsidRPr="005157E4">
        <w:rPr>
          <w:sz w:val="18"/>
          <w:szCs w:val="18"/>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8C72" w14:textId="77777777" w:rsidR="00AA7436" w:rsidRDefault="00AA7436">
    <w:pPr>
      <w:pStyle w:val="Header"/>
    </w:pPr>
    <w:r>
      <w:rPr>
        <w:noProof/>
      </w:rPr>
      <w:drawing>
        <wp:anchor distT="0" distB="0" distL="114300" distR="114300" simplePos="0" relativeHeight="251660288" behindDoc="0" locked="0" layoutInCell="1" allowOverlap="1" wp14:anchorId="174A199A" wp14:editId="10C4DBD3">
          <wp:simplePos x="0" y="0"/>
          <wp:positionH relativeFrom="page">
            <wp:posOffset>-34290</wp:posOffset>
          </wp:positionH>
          <wp:positionV relativeFrom="page">
            <wp:posOffset>25400</wp:posOffset>
          </wp:positionV>
          <wp:extent cx="7827264" cy="512064"/>
          <wp:effectExtent l="0" t="0" r="0" b="0"/>
          <wp:wrapSquare wrapText="bothSides"/>
          <wp:docPr id="6597654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65454" name="Picture 659765454"/>
                  <pic:cNvPicPr/>
                </pic:nvPicPr>
                <pic:blipFill>
                  <a:blip r:embed="rId1">
                    <a:extLst>
                      <a:ext uri="{28A0092B-C50C-407E-A947-70E740481C1C}">
                        <a14:useLocalDpi xmlns:a14="http://schemas.microsoft.com/office/drawing/2010/main" val="0"/>
                      </a:ext>
                    </a:extLst>
                  </a:blip>
                  <a:stretch>
                    <a:fillRect/>
                  </a:stretch>
                </pic:blipFill>
                <pic:spPr>
                  <a:xfrm>
                    <a:off x="0" y="0"/>
                    <a:ext cx="7827264" cy="5120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CCCB" w14:textId="77777777" w:rsidR="00AA7436" w:rsidRDefault="00E84797">
    <w:pPr>
      <w:pStyle w:val="Header"/>
    </w:pPr>
    <w:r>
      <w:rPr>
        <w:noProof/>
      </w:rPr>
      <w:drawing>
        <wp:anchor distT="0" distB="0" distL="114300" distR="114300" simplePos="0" relativeHeight="251661312" behindDoc="0" locked="0" layoutInCell="1" allowOverlap="1" wp14:anchorId="6B31EDF0" wp14:editId="75820A8B">
          <wp:simplePos x="0" y="0"/>
          <wp:positionH relativeFrom="page">
            <wp:posOffset>8467</wp:posOffset>
          </wp:positionH>
          <wp:positionV relativeFrom="page">
            <wp:posOffset>16933</wp:posOffset>
          </wp:positionV>
          <wp:extent cx="7744968" cy="2276856"/>
          <wp:effectExtent l="0" t="0" r="2540" b="0"/>
          <wp:wrapSquare wrapText="bothSides"/>
          <wp:docPr id="67661336" name="Picture 1" descr="A close-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61336" name="Picture 1" descr="A close-up of a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4968" cy="22768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505E"/>
    <w:multiLevelType w:val="multilevel"/>
    <w:tmpl w:val="D902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16D64"/>
    <w:multiLevelType w:val="hybridMultilevel"/>
    <w:tmpl w:val="AB625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E7BEC"/>
    <w:multiLevelType w:val="multilevel"/>
    <w:tmpl w:val="9B7A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04B08"/>
    <w:multiLevelType w:val="multilevel"/>
    <w:tmpl w:val="7158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47DED"/>
    <w:multiLevelType w:val="multilevel"/>
    <w:tmpl w:val="60E6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A94929"/>
    <w:multiLevelType w:val="multilevel"/>
    <w:tmpl w:val="F63A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1252D"/>
    <w:multiLevelType w:val="hybridMultilevel"/>
    <w:tmpl w:val="D5686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AE7910"/>
    <w:multiLevelType w:val="hybridMultilevel"/>
    <w:tmpl w:val="62FAB048"/>
    <w:lvl w:ilvl="0" w:tplc="7BBA19E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41D77"/>
    <w:multiLevelType w:val="multilevel"/>
    <w:tmpl w:val="285A7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8D3F29"/>
    <w:multiLevelType w:val="hybridMultilevel"/>
    <w:tmpl w:val="2B92F4A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996073B"/>
    <w:multiLevelType w:val="multilevel"/>
    <w:tmpl w:val="26AE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9A785B"/>
    <w:multiLevelType w:val="hybridMultilevel"/>
    <w:tmpl w:val="40F08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477A50"/>
    <w:multiLevelType w:val="multilevel"/>
    <w:tmpl w:val="35A4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062475">
    <w:abstractNumId w:val="9"/>
  </w:num>
  <w:num w:numId="2" w16cid:durableId="1663852355">
    <w:abstractNumId w:val="11"/>
  </w:num>
  <w:num w:numId="3" w16cid:durableId="743574919">
    <w:abstractNumId w:val="0"/>
  </w:num>
  <w:num w:numId="4" w16cid:durableId="1904216670">
    <w:abstractNumId w:val="2"/>
  </w:num>
  <w:num w:numId="5" w16cid:durableId="440492516">
    <w:abstractNumId w:val="10"/>
  </w:num>
  <w:num w:numId="6" w16cid:durableId="224948717">
    <w:abstractNumId w:val="3"/>
  </w:num>
  <w:num w:numId="7" w16cid:durableId="1379889831">
    <w:abstractNumId w:val="8"/>
  </w:num>
  <w:num w:numId="8" w16cid:durableId="910312133">
    <w:abstractNumId w:val="5"/>
  </w:num>
  <w:num w:numId="9" w16cid:durableId="1185436239">
    <w:abstractNumId w:val="4"/>
  </w:num>
  <w:num w:numId="10" w16cid:durableId="1410035804">
    <w:abstractNumId w:val="12"/>
  </w:num>
  <w:num w:numId="11" w16cid:durableId="1716195900">
    <w:abstractNumId w:val="1"/>
  </w:num>
  <w:num w:numId="12" w16cid:durableId="1664970634">
    <w:abstractNumId w:val="6"/>
  </w:num>
  <w:num w:numId="13" w16cid:durableId="1560481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5B"/>
    <w:rsid w:val="00002C82"/>
    <w:rsid w:val="0001142B"/>
    <w:rsid w:val="00215E56"/>
    <w:rsid w:val="00235E84"/>
    <w:rsid w:val="0036292C"/>
    <w:rsid w:val="003A553B"/>
    <w:rsid w:val="003B5544"/>
    <w:rsid w:val="004060F9"/>
    <w:rsid w:val="005A75AF"/>
    <w:rsid w:val="005E411D"/>
    <w:rsid w:val="00620830"/>
    <w:rsid w:val="00745756"/>
    <w:rsid w:val="00A54D45"/>
    <w:rsid w:val="00AA7436"/>
    <w:rsid w:val="00AE49E0"/>
    <w:rsid w:val="00B1720A"/>
    <w:rsid w:val="00C01A5B"/>
    <w:rsid w:val="00C039FB"/>
    <w:rsid w:val="00C21CBC"/>
    <w:rsid w:val="00C40D22"/>
    <w:rsid w:val="00C40DB7"/>
    <w:rsid w:val="00C7180A"/>
    <w:rsid w:val="00C968EA"/>
    <w:rsid w:val="00D00ECB"/>
    <w:rsid w:val="00D073B6"/>
    <w:rsid w:val="00D30E7D"/>
    <w:rsid w:val="00D339F0"/>
    <w:rsid w:val="00E71BA4"/>
    <w:rsid w:val="00E84797"/>
    <w:rsid w:val="00F12660"/>
    <w:rsid w:val="00F52397"/>
    <w:rsid w:val="00F73212"/>
    <w:rsid w:val="00FB0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D07A6"/>
  <w15:chartTrackingRefBased/>
  <w15:docId w15:val="{39E2A8B7-ABB9-7242-84AE-45CB6822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A5B"/>
    <w:rPr>
      <w:kern w:val="2"/>
      <w14:ligatures w14:val="standardContextual"/>
    </w:rPr>
  </w:style>
  <w:style w:type="paragraph" w:styleId="Heading1">
    <w:name w:val="heading 1"/>
    <w:basedOn w:val="Normal"/>
    <w:next w:val="Normal"/>
    <w:link w:val="Heading1Char"/>
    <w:uiPriority w:val="9"/>
    <w:qFormat/>
    <w:rsid w:val="00AA7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4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4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4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4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4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4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4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4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4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4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4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4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4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4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4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436"/>
    <w:rPr>
      <w:rFonts w:eastAsiaTheme="majorEastAsia" w:cstheme="majorBidi"/>
      <w:color w:val="272727" w:themeColor="text1" w:themeTint="D8"/>
    </w:rPr>
  </w:style>
  <w:style w:type="paragraph" w:styleId="Title">
    <w:name w:val="Title"/>
    <w:basedOn w:val="Normal"/>
    <w:next w:val="Normal"/>
    <w:link w:val="TitleChar"/>
    <w:uiPriority w:val="10"/>
    <w:qFormat/>
    <w:rsid w:val="00AA74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4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4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4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7436"/>
    <w:rPr>
      <w:i/>
      <w:iCs/>
      <w:color w:val="404040" w:themeColor="text1" w:themeTint="BF"/>
    </w:rPr>
  </w:style>
  <w:style w:type="paragraph" w:styleId="ListParagraph">
    <w:name w:val="List Paragraph"/>
    <w:basedOn w:val="Normal"/>
    <w:uiPriority w:val="34"/>
    <w:qFormat/>
    <w:rsid w:val="00AA7436"/>
    <w:pPr>
      <w:ind w:left="720"/>
      <w:contextualSpacing/>
    </w:pPr>
  </w:style>
  <w:style w:type="character" w:styleId="IntenseEmphasis">
    <w:name w:val="Intense Emphasis"/>
    <w:basedOn w:val="DefaultParagraphFont"/>
    <w:uiPriority w:val="21"/>
    <w:qFormat/>
    <w:rsid w:val="00AA7436"/>
    <w:rPr>
      <w:i/>
      <w:iCs/>
      <w:color w:val="0F4761" w:themeColor="accent1" w:themeShade="BF"/>
    </w:rPr>
  </w:style>
  <w:style w:type="paragraph" w:styleId="IntenseQuote">
    <w:name w:val="Intense Quote"/>
    <w:basedOn w:val="Normal"/>
    <w:next w:val="Normal"/>
    <w:link w:val="IntenseQuoteChar"/>
    <w:uiPriority w:val="30"/>
    <w:qFormat/>
    <w:rsid w:val="00AA7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436"/>
    <w:rPr>
      <w:i/>
      <w:iCs/>
      <w:color w:val="0F4761" w:themeColor="accent1" w:themeShade="BF"/>
    </w:rPr>
  </w:style>
  <w:style w:type="character" w:styleId="IntenseReference">
    <w:name w:val="Intense Reference"/>
    <w:basedOn w:val="DefaultParagraphFont"/>
    <w:uiPriority w:val="32"/>
    <w:qFormat/>
    <w:rsid w:val="00AA7436"/>
    <w:rPr>
      <w:b/>
      <w:bCs/>
      <w:smallCaps/>
      <w:color w:val="0F4761" w:themeColor="accent1" w:themeShade="BF"/>
      <w:spacing w:val="5"/>
    </w:rPr>
  </w:style>
  <w:style w:type="paragraph" w:styleId="Header">
    <w:name w:val="header"/>
    <w:basedOn w:val="Normal"/>
    <w:link w:val="HeaderChar"/>
    <w:uiPriority w:val="99"/>
    <w:unhideWhenUsed/>
    <w:rsid w:val="00AA7436"/>
    <w:pPr>
      <w:tabs>
        <w:tab w:val="center" w:pos="4680"/>
        <w:tab w:val="right" w:pos="9360"/>
      </w:tabs>
    </w:pPr>
  </w:style>
  <w:style w:type="character" w:customStyle="1" w:styleId="HeaderChar">
    <w:name w:val="Header Char"/>
    <w:basedOn w:val="DefaultParagraphFont"/>
    <w:link w:val="Header"/>
    <w:uiPriority w:val="99"/>
    <w:rsid w:val="00AA7436"/>
  </w:style>
  <w:style w:type="paragraph" w:styleId="Footer">
    <w:name w:val="footer"/>
    <w:basedOn w:val="Normal"/>
    <w:link w:val="FooterChar"/>
    <w:uiPriority w:val="99"/>
    <w:unhideWhenUsed/>
    <w:rsid w:val="00AA7436"/>
    <w:pPr>
      <w:tabs>
        <w:tab w:val="center" w:pos="4680"/>
        <w:tab w:val="right" w:pos="9360"/>
      </w:tabs>
    </w:pPr>
  </w:style>
  <w:style w:type="character" w:customStyle="1" w:styleId="FooterChar">
    <w:name w:val="Footer Char"/>
    <w:basedOn w:val="DefaultParagraphFont"/>
    <w:link w:val="Footer"/>
    <w:uiPriority w:val="99"/>
    <w:rsid w:val="00AA7436"/>
  </w:style>
  <w:style w:type="paragraph" w:customStyle="1" w:styleId="paragraph">
    <w:name w:val="paragraph"/>
    <w:basedOn w:val="Normal"/>
    <w:rsid w:val="00C01A5B"/>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01A5B"/>
  </w:style>
  <w:style w:type="character" w:customStyle="1" w:styleId="eop">
    <w:name w:val="eop"/>
    <w:basedOn w:val="DefaultParagraphFont"/>
    <w:rsid w:val="00C01A5B"/>
  </w:style>
  <w:style w:type="character" w:styleId="Hyperlink">
    <w:name w:val="Hyperlink"/>
    <w:basedOn w:val="DefaultParagraphFont"/>
    <w:uiPriority w:val="99"/>
    <w:unhideWhenUsed/>
    <w:rsid w:val="00215E56"/>
    <w:rPr>
      <w:color w:val="467886" w:themeColor="hyperlink"/>
      <w:u w:val="single"/>
    </w:rPr>
  </w:style>
  <w:style w:type="paragraph" w:styleId="FootnoteText">
    <w:name w:val="footnote text"/>
    <w:basedOn w:val="Normal"/>
    <w:link w:val="FootnoteTextChar"/>
    <w:uiPriority w:val="99"/>
    <w:semiHidden/>
    <w:unhideWhenUsed/>
    <w:rsid w:val="005A75AF"/>
    <w:rPr>
      <w:sz w:val="20"/>
      <w:szCs w:val="20"/>
    </w:rPr>
  </w:style>
  <w:style w:type="character" w:customStyle="1" w:styleId="FootnoteTextChar">
    <w:name w:val="Footnote Text Char"/>
    <w:basedOn w:val="DefaultParagraphFont"/>
    <w:link w:val="FootnoteText"/>
    <w:uiPriority w:val="99"/>
    <w:semiHidden/>
    <w:rsid w:val="005A75AF"/>
    <w:rPr>
      <w:kern w:val="2"/>
      <w:sz w:val="20"/>
      <w:szCs w:val="20"/>
      <w14:ligatures w14:val="standardContextual"/>
    </w:rPr>
  </w:style>
  <w:style w:type="character" w:styleId="FootnoteReference">
    <w:name w:val="footnote reference"/>
    <w:basedOn w:val="DefaultParagraphFont"/>
    <w:uiPriority w:val="99"/>
    <w:semiHidden/>
    <w:unhideWhenUsed/>
    <w:rsid w:val="005A75AF"/>
    <w:rPr>
      <w:vertAlign w:val="superscript"/>
    </w:rPr>
  </w:style>
  <w:style w:type="character" w:styleId="UnresolvedMention">
    <w:name w:val="Unresolved Mention"/>
    <w:basedOn w:val="DefaultParagraphFont"/>
    <w:uiPriority w:val="99"/>
    <w:semiHidden/>
    <w:unhideWhenUsed/>
    <w:rsid w:val="005A75AF"/>
    <w:rPr>
      <w:color w:val="605E5C"/>
      <w:shd w:val="clear" w:color="auto" w:fill="E1DFDD"/>
    </w:rPr>
  </w:style>
  <w:style w:type="paragraph" w:styleId="NormalWeb">
    <w:name w:val="Normal (Web)"/>
    <w:basedOn w:val="Normal"/>
    <w:uiPriority w:val="99"/>
    <w:semiHidden/>
    <w:unhideWhenUsed/>
    <w:rsid w:val="005A75AF"/>
    <w:pPr>
      <w:spacing w:before="100" w:beforeAutospacing="1" w:after="100" w:afterAutospacing="1"/>
    </w:pPr>
    <w:rPr>
      <w:rFonts w:ascii="Aptos" w:hAnsi="Aptos" w:cs="Aptos"/>
      <w:kern w:val="0"/>
      <w14:ligatures w14:val="none"/>
    </w:rPr>
  </w:style>
  <w:style w:type="paragraph" w:customStyle="1" w:styleId="TableParagraph">
    <w:name w:val="Table Paragraph"/>
    <w:basedOn w:val="Normal"/>
    <w:uiPriority w:val="1"/>
    <w:qFormat/>
    <w:rsid w:val="005A75AF"/>
    <w:pPr>
      <w:autoSpaceDE w:val="0"/>
      <w:autoSpaceDN w:val="0"/>
      <w:adjustRightInd w:val="0"/>
      <w:spacing w:line="176" w:lineRule="exact"/>
      <w:jc w:val="right"/>
    </w:pPr>
    <w:rPr>
      <w:rFonts w:ascii="Calibri" w:hAnsi="Calibri" w:cs="Calibri"/>
      <w:kern w:val="0"/>
    </w:rPr>
  </w:style>
  <w:style w:type="table" w:customStyle="1" w:styleId="TableGrid">
    <w:name w:val="TableGrid"/>
    <w:rsid w:val="005A75AF"/>
    <w:rPr>
      <w:rFonts w:eastAsiaTheme="minorEastAsia"/>
      <w:kern w:val="2"/>
      <w14:ligatures w14:val="standardContextual"/>
    </w:rPr>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sid w:val="005A75AF"/>
    <w:pPr>
      <w:spacing w:after="160"/>
    </w:pPr>
    <w:rPr>
      <w:sz w:val="20"/>
      <w:szCs w:val="20"/>
    </w:rPr>
  </w:style>
  <w:style w:type="character" w:customStyle="1" w:styleId="CommentTextChar">
    <w:name w:val="Comment Text Char"/>
    <w:basedOn w:val="DefaultParagraphFont"/>
    <w:link w:val="CommentText"/>
    <w:uiPriority w:val="99"/>
    <w:semiHidden/>
    <w:rsid w:val="005A75AF"/>
    <w:rPr>
      <w:kern w:val="2"/>
      <w:sz w:val="20"/>
      <w:szCs w:val="20"/>
      <w14:ligatures w14:val="standardContextual"/>
    </w:rPr>
  </w:style>
  <w:style w:type="character" w:styleId="CommentReference">
    <w:name w:val="annotation reference"/>
    <w:basedOn w:val="DefaultParagraphFont"/>
    <w:uiPriority w:val="99"/>
    <w:semiHidden/>
    <w:unhideWhenUsed/>
    <w:rsid w:val="005A75AF"/>
    <w:rPr>
      <w:sz w:val="16"/>
      <w:szCs w:val="16"/>
    </w:rPr>
  </w:style>
  <w:style w:type="paragraph" w:styleId="Revision">
    <w:name w:val="Revision"/>
    <w:hidden/>
    <w:uiPriority w:val="99"/>
    <w:semiHidden/>
    <w:rsid w:val="00AE49E0"/>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77530">
      <w:bodyDiv w:val="1"/>
      <w:marLeft w:val="0"/>
      <w:marRight w:val="0"/>
      <w:marTop w:val="0"/>
      <w:marBottom w:val="0"/>
      <w:divBdr>
        <w:top w:val="none" w:sz="0" w:space="0" w:color="auto"/>
        <w:left w:val="none" w:sz="0" w:space="0" w:color="auto"/>
        <w:bottom w:val="none" w:sz="0" w:space="0" w:color="auto"/>
        <w:right w:val="none" w:sz="0" w:space="0" w:color="auto"/>
      </w:divBdr>
      <w:divsChild>
        <w:div w:id="1842424481">
          <w:marLeft w:val="0"/>
          <w:marRight w:val="0"/>
          <w:marTop w:val="0"/>
          <w:marBottom w:val="0"/>
          <w:divBdr>
            <w:top w:val="none" w:sz="0" w:space="0" w:color="auto"/>
            <w:left w:val="none" w:sz="0" w:space="0" w:color="auto"/>
            <w:bottom w:val="none" w:sz="0" w:space="0" w:color="auto"/>
            <w:right w:val="none" w:sz="0" w:space="0" w:color="auto"/>
          </w:divBdr>
        </w:div>
        <w:div w:id="2017689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www.cga.ct.gov/pri/archives/epsb/20120124FINAL_Ful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AppData\Local\Microsoft\Windows\INetCache\Content.Outlook\CRHBVSXK\CEA%20Letterhead%20Feb%202024_Govern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2609AC67157245BF8EB6DA075CA092" ma:contentTypeVersion="6" ma:contentTypeDescription="Create a new document." ma:contentTypeScope="" ma:versionID="96a8191b978fffdd67f00a0a09f7cde4">
  <xsd:schema xmlns:xsd="http://www.w3.org/2001/XMLSchema" xmlns:xs="http://www.w3.org/2001/XMLSchema" xmlns:p="http://schemas.microsoft.com/office/2006/metadata/properties" xmlns:ns2="0daec8a9-63e9-4ad6-a235-549ecdacbaf2" xmlns:ns3="301d9f95-7a87-46c3-9f0f-b27e4a36aa4b" targetNamespace="http://schemas.microsoft.com/office/2006/metadata/properties" ma:root="true" ma:fieldsID="c8661a8aebff7ba69157c4d2dfa8e955" ns2:_="" ns3:_="">
    <xsd:import namespace="0daec8a9-63e9-4ad6-a235-549ecdacbaf2"/>
    <xsd:import namespace="301d9f95-7a87-46c3-9f0f-b27e4a36aa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ec8a9-63e9-4ad6-a235-549ecdacb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d9f95-7a87-46c3-9f0f-b27e4a36aa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297BC-46E7-4FC9-843F-8610010C2BBF}">
  <ds:schemaRefs>
    <ds:schemaRef ds:uri="http://schemas.microsoft.com/sharepoint/v3/contenttype/forms"/>
  </ds:schemaRefs>
</ds:datastoreItem>
</file>

<file path=customXml/itemProps2.xml><?xml version="1.0" encoding="utf-8"?>
<ds:datastoreItem xmlns:ds="http://schemas.openxmlformats.org/officeDocument/2006/customXml" ds:itemID="{E2942D9F-67FB-4D2B-9B27-E9F941AF31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D71DEF-1C90-4BF1-B23D-9A3D3F81C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ec8a9-63e9-4ad6-a235-549ecdacbaf2"/>
    <ds:schemaRef ds:uri="301d9f95-7a87-46c3-9f0f-b27e4a36a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CEA Letterhead Feb 2024_Governance</Template>
  <TotalTime>1</TotalTime>
  <Pages>8</Pages>
  <Words>3830</Words>
  <Characters>20797</Characters>
  <Application>Microsoft Office Word</Application>
  <DocSecurity>0</DocSecurity>
  <Lines>319</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Rosado Burch</dc:creator>
  <cp:keywords/>
  <dc:description/>
  <cp:lastModifiedBy>Neal, Kenneth [CT]</cp:lastModifiedBy>
  <cp:revision>2</cp:revision>
  <dcterms:created xsi:type="dcterms:W3CDTF">2024-03-13T16:31:00Z</dcterms:created>
  <dcterms:modified xsi:type="dcterms:W3CDTF">2024-03-13T16:31:00Z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0x010100772609AC67157245BF8EB6DA075CA092</vt:lpwstr>
  </property>
  <property fmtid="{D5CDD505-2E9C-101B-9397-08002B2CF9AE}" pid="3" name="GrammarlyDocumentId">
    <vt:lpwstr>a5b03f54df3b0ca8afe7845ae291471398f5795620bc367fafb97e32e3cac5ca</vt:lpwstr>
  </property>
</Properties>
</file>