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7693" w14:textId="77777777" w:rsidR="003C027E" w:rsidRDefault="003C027E" w:rsidP="003C027E">
      <w:pPr>
        <w:spacing w:before="120" w:after="80"/>
        <w:jc w:val="center"/>
        <w:rPr>
          <w:rFonts w:asciiTheme="minorHAnsi" w:hAnsiTheme="minorHAnsi" w:cstheme="minorHAnsi"/>
          <w:i/>
        </w:rPr>
      </w:pPr>
      <w:r w:rsidRPr="008322C7">
        <w:rPr>
          <w:rFonts w:asciiTheme="minorHAnsi" w:hAnsiTheme="minorHAnsi" w:cstheme="minorHAnsi"/>
          <w:i/>
        </w:rPr>
        <w:t>Testimony of</w:t>
      </w:r>
    </w:p>
    <w:p w14:paraId="3487D6B2" w14:textId="77777777" w:rsidR="003C027E" w:rsidRPr="0096373B" w:rsidRDefault="003C027E" w:rsidP="003C027E">
      <w:pPr>
        <w:spacing w:before="120" w:after="80"/>
        <w:jc w:val="center"/>
        <w:rPr>
          <w:rFonts w:asciiTheme="minorHAnsi" w:hAnsiTheme="minorHAnsi" w:cstheme="minorHAnsi"/>
          <w:b/>
          <w:bCs/>
          <w:i/>
        </w:rPr>
      </w:pPr>
      <w:r w:rsidRPr="0096373B">
        <w:rPr>
          <w:rFonts w:asciiTheme="minorHAnsi" w:hAnsiTheme="minorHAnsi" w:cstheme="minorHAnsi"/>
          <w:b/>
          <w:bCs/>
          <w:i/>
        </w:rPr>
        <w:t>Kate Dias</w:t>
      </w:r>
    </w:p>
    <w:p w14:paraId="5A4436B7" w14:textId="77777777" w:rsidR="003C027E" w:rsidRPr="008322C7" w:rsidRDefault="003C027E" w:rsidP="003C027E">
      <w:pPr>
        <w:spacing w:before="120" w:after="80"/>
        <w:jc w:val="center"/>
        <w:rPr>
          <w:rFonts w:asciiTheme="minorHAnsi" w:hAnsiTheme="minorHAnsi" w:cstheme="minorHAnsi"/>
          <w:b/>
          <w:i/>
        </w:rPr>
      </w:pPr>
      <w:r w:rsidRPr="008322C7">
        <w:rPr>
          <w:rFonts w:asciiTheme="minorHAnsi" w:hAnsiTheme="minorHAnsi" w:cstheme="minorHAnsi"/>
          <w:b/>
          <w:i/>
        </w:rPr>
        <w:t>Connecticut Education Association</w:t>
      </w:r>
    </w:p>
    <w:p w14:paraId="05F3F256" w14:textId="77777777" w:rsidR="003C027E" w:rsidRPr="008322C7" w:rsidRDefault="003C027E" w:rsidP="003C027E">
      <w:pPr>
        <w:spacing w:before="120" w:after="80"/>
        <w:jc w:val="center"/>
        <w:rPr>
          <w:rFonts w:asciiTheme="minorHAnsi" w:hAnsiTheme="minorHAnsi" w:cstheme="minorHAnsi"/>
          <w:i/>
        </w:rPr>
      </w:pPr>
      <w:r w:rsidRPr="008322C7">
        <w:rPr>
          <w:rFonts w:asciiTheme="minorHAnsi" w:hAnsiTheme="minorHAnsi" w:cstheme="minorHAnsi"/>
          <w:i/>
        </w:rPr>
        <w:t>Before the</w:t>
      </w:r>
    </w:p>
    <w:p w14:paraId="7AA47746" w14:textId="77777777" w:rsidR="003C027E" w:rsidRPr="008322C7" w:rsidRDefault="003C027E" w:rsidP="003C027E">
      <w:pPr>
        <w:spacing w:before="120" w:after="80"/>
        <w:jc w:val="center"/>
        <w:rPr>
          <w:rFonts w:asciiTheme="minorHAnsi" w:hAnsiTheme="minorHAnsi" w:cstheme="minorHAnsi"/>
          <w:b/>
          <w:bCs/>
          <w:i/>
        </w:rPr>
      </w:pPr>
      <w:r>
        <w:rPr>
          <w:rFonts w:asciiTheme="minorHAnsi" w:hAnsiTheme="minorHAnsi" w:cstheme="minorHAnsi"/>
          <w:b/>
          <w:bCs/>
          <w:i/>
        </w:rPr>
        <w:t xml:space="preserve">Finance, Revenue, and Bonding </w:t>
      </w:r>
      <w:r w:rsidRPr="008322C7">
        <w:rPr>
          <w:rFonts w:asciiTheme="minorHAnsi" w:hAnsiTheme="minorHAnsi" w:cstheme="minorHAnsi"/>
          <w:b/>
          <w:bCs/>
          <w:i/>
        </w:rPr>
        <w:t>Committee</w:t>
      </w:r>
    </w:p>
    <w:p w14:paraId="1280B4D0" w14:textId="77777777" w:rsidR="003C027E" w:rsidRPr="008322C7" w:rsidRDefault="003C027E" w:rsidP="003C027E">
      <w:pPr>
        <w:spacing w:before="120" w:after="80"/>
        <w:jc w:val="center"/>
        <w:rPr>
          <w:rFonts w:asciiTheme="minorHAnsi" w:hAnsiTheme="minorHAnsi" w:cstheme="minorHAnsi"/>
          <w:i/>
        </w:rPr>
      </w:pPr>
      <w:r w:rsidRPr="008322C7">
        <w:rPr>
          <w:rFonts w:asciiTheme="minorHAnsi" w:hAnsiTheme="minorHAnsi" w:cstheme="minorHAnsi"/>
          <w:i/>
        </w:rPr>
        <w:t>Re:</w:t>
      </w:r>
    </w:p>
    <w:p w14:paraId="6EA5571E" w14:textId="77777777" w:rsidR="003C027E" w:rsidRDefault="003C027E" w:rsidP="003C027E">
      <w:pPr>
        <w:spacing w:after="80"/>
        <w:jc w:val="center"/>
        <w:rPr>
          <w:rFonts w:asciiTheme="minorHAnsi" w:hAnsiTheme="minorHAnsi" w:cstheme="minorHAnsi"/>
          <w:b/>
          <w:bCs/>
          <w:i/>
          <w:iCs/>
          <w:sz w:val="22"/>
          <w:szCs w:val="22"/>
        </w:rPr>
      </w:pPr>
      <w:r w:rsidRPr="00974112">
        <w:rPr>
          <w:rFonts w:asciiTheme="minorHAnsi" w:hAnsiTheme="minorHAnsi" w:cstheme="minorHAnsi"/>
          <w:b/>
          <w:bCs/>
          <w:i/>
          <w:iCs/>
          <w:sz w:val="22"/>
          <w:szCs w:val="22"/>
        </w:rPr>
        <w:t xml:space="preserve">HB 5101 </w:t>
      </w:r>
      <w:r w:rsidRPr="008322C7">
        <w:rPr>
          <w:rFonts w:asciiTheme="minorHAnsi" w:hAnsiTheme="minorHAnsi" w:cstheme="minorHAnsi"/>
          <w:b/>
          <w:bCs/>
          <w:i/>
          <w:iCs/>
          <w:sz w:val="22"/>
          <w:szCs w:val="22"/>
        </w:rPr>
        <w:t xml:space="preserve">AN ACT ESTABLISHING A TAX CREDIT FOR EDUCATIONAL ACCESS AND </w:t>
      </w:r>
    </w:p>
    <w:p w14:paraId="580C05A5" w14:textId="77777777" w:rsidR="003C027E" w:rsidRPr="008322C7" w:rsidRDefault="003C027E" w:rsidP="003C027E">
      <w:pPr>
        <w:spacing w:after="80"/>
        <w:jc w:val="center"/>
        <w:rPr>
          <w:rFonts w:asciiTheme="minorHAnsi" w:hAnsiTheme="minorHAnsi" w:cstheme="minorHAnsi"/>
          <w:b/>
          <w:bCs/>
          <w:i/>
          <w:iCs/>
          <w:sz w:val="22"/>
          <w:szCs w:val="22"/>
        </w:rPr>
      </w:pPr>
      <w:r w:rsidRPr="008322C7">
        <w:rPr>
          <w:rFonts w:asciiTheme="minorHAnsi" w:hAnsiTheme="minorHAnsi" w:cstheme="minorHAnsi"/>
          <w:b/>
          <w:bCs/>
          <w:i/>
          <w:iCs/>
          <w:sz w:val="22"/>
          <w:szCs w:val="22"/>
        </w:rPr>
        <w:t xml:space="preserve">OPPORTUNITY SCHOLARSHIP </w:t>
      </w:r>
    </w:p>
    <w:p w14:paraId="60416C92" w14:textId="77777777" w:rsidR="003C027E" w:rsidRPr="008322C7" w:rsidRDefault="003C027E" w:rsidP="003C027E">
      <w:pPr>
        <w:spacing w:before="120" w:after="80"/>
        <w:jc w:val="center"/>
        <w:rPr>
          <w:rFonts w:asciiTheme="minorHAnsi" w:hAnsiTheme="minorHAnsi" w:cstheme="minorHAnsi"/>
          <w:i/>
          <w:iCs/>
          <w:sz w:val="22"/>
          <w:szCs w:val="22"/>
        </w:rPr>
      </w:pPr>
      <w:r>
        <w:rPr>
          <w:rFonts w:asciiTheme="minorHAnsi" w:hAnsiTheme="minorHAnsi" w:cstheme="minorHAnsi"/>
          <w:i/>
          <w:iCs/>
        </w:rPr>
        <w:t>March 6, 2024</w:t>
      </w:r>
    </w:p>
    <w:p w14:paraId="48EF10E1" w14:textId="77777777" w:rsidR="003C027E" w:rsidRDefault="003C027E" w:rsidP="003C027E">
      <w:pPr>
        <w:spacing w:after="120"/>
        <w:rPr>
          <w:rFonts w:asciiTheme="minorHAnsi" w:hAnsiTheme="minorHAnsi" w:cstheme="minorHAnsi"/>
        </w:rPr>
      </w:pPr>
    </w:p>
    <w:p w14:paraId="16675A89" w14:textId="77777777" w:rsidR="003C027E" w:rsidRPr="0055284F" w:rsidRDefault="003C027E" w:rsidP="003C027E">
      <w:pPr>
        <w:spacing w:after="120"/>
        <w:rPr>
          <w:rFonts w:asciiTheme="minorHAnsi" w:hAnsiTheme="minorHAnsi" w:cstheme="minorHAnsi"/>
        </w:rPr>
      </w:pPr>
      <w:r w:rsidRPr="0055284F">
        <w:rPr>
          <w:rFonts w:asciiTheme="minorHAnsi" w:hAnsiTheme="minorHAnsi" w:cstheme="minorHAnsi"/>
        </w:rPr>
        <w:t xml:space="preserve">Representative Horn, Senator Fonfara, and members of this esteemed committee, my name is </w:t>
      </w:r>
      <w:r>
        <w:rPr>
          <w:rFonts w:asciiTheme="minorHAnsi" w:hAnsiTheme="minorHAnsi" w:cstheme="minorHAnsi"/>
        </w:rPr>
        <w:t xml:space="preserve">Kate </w:t>
      </w:r>
      <w:proofErr w:type="gramStart"/>
      <w:r>
        <w:rPr>
          <w:rFonts w:asciiTheme="minorHAnsi" w:hAnsiTheme="minorHAnsi" w:cstheme="minorHAnsi"/>
        </w:rPr>
        <w:t>Dias</w:t>
      </w:r>
      <w:proofErr w:type="gramEnd"/>
      <w:r w:rsidRPr="0055284F">
        <w:rPr>
          <w:rFonts w:asciiTheme="minorHAnsi" w:hAnsiTheme="minorHAnsi" w:cstheme="minorHAnsi"/>
        </w:rPr>
        <w:t xml:space="preserve"> and I am the </w:t>
      </w:r>
      <w:r>
        <w:rPr>
          <w:rFonts w:asciiTheme="minorHAnsi" w:hAnsiTheme="minorHAnsi" w:cstheme="minorHAnsi"/>
        </w:rPr>
        <w:t>President of</w:t>
      </w:r>
      <w:r w:rsidRPr="0055284F">
        <w:rPr>
          <w:rFonts w:asciiTheme="minorHAnsi" w:hAnsiTheme="minorHAnsi" w:cstheme="minorHAnsi"/>
        </w:rPr>
        <w:t xml:space="preserve"> the Connecticut Education Association (CEA). CEA represents educators in over 150 school districts across Connecticut.</w:t>
      </w:r>
    </w:p>
    <w:p w14:paraId="16090899" w14:textId="77777777" w:rsidR="003C027E" w:rsidRDefault="003C027E" w:rsidP="003C027E">
      <w:pPr>
        <w:spacing w:after="120"/>
        <w:rPr>
          <w:rFonts w:asciiTheme="minorHAnsi" w:hAnsiTheme="minorHAnsi" w:cstheme="minorHAnsi"/>
        </w:rPr>
      </w:pPr>
      <w:r>
        <w:rPr>
          <w:rFonts w:asciiTheme="minorHAnsi" w:hAnsiTheme="minorHAnsi" w:cstheme="minorHAnsi"/>
        </w:rPr>
        <w:t>CEA strongly opposes HB 5101, which is another attempt after last year’s attempt to fund private elite schools through tax credits.   Tax Credit Scholarships are private school</w:t>
      </w:r>
      <w:r w:rsidRPr="008322C7">
        <w:rPr>
          <w:rFonts w:asciiTheme="minorHAnsi" w:hAnsiTheme="minorHAnsi" w:cstheme="minorHAnsi"/>
        </w:rPr>
        <w:t xml:space="preserve"> voucher </w:t>
      </w:r>
      <w:r>
        <w:rPr>
          <w:rFonts w:asciiTheme="minorHAnsi" w:hAnsiTheme="minorHAnsi" w:cstheme="minorHAnsi"/>
        </w:rPr>
        <w:t xml:space="preserve">programs </w:t>
      </w:r>
      <w:r w:rsidRPr="008322C7">
        <w:rPr>
          <w:rFonts w:asciiTheme="minorHAnsi" w:hAnsiTheme="minorHAnsi" w:cstheme="minorHAnsi"/>
        </w:rPr>
        <w:t xml:space="preserve">masquerading as a tax credit. </w:t>
      </w:r>
      <w:r>
        <w:rPr>
          <w:rFonts w:asciiTheme="minorHAnsi" w:hAnsiTheme="minorHAnsi" w:cstheme="minorHAnsi"/>
        </w:rPr>
        <w:t xml:space="preserve"> </w:t>
      </w:r>
      <w:r w:rsidRPr="008322C7">
        <w:rPr>
          <w:rFonts w:asciiTheme="minorHAnsi" w:hAnsiTheme="minorHAnsi" w:cstheme="minorHAnsi"/>
        </w:rPr>
        <w:t>Whether called a voucher, tax credit scholarship,</w:t>
      </w:r>
      <w:r>
        <w:rPr>
          <w:rFonts w:asciiTheme="minorHAnsi" w:hAnsiTheme="minorHAnsi" w:cstheme="minorHAnsi"/>
        </w:rPr>
        <w:t xml:space="preserve"> or</w:t>
      </w:r>
      <w:r w:rsidRPr="008322C7">
        <w:rPr>
          <w:rFonts w:asciiTheme="minorHAnsi" w:hAnsiTheme="minorHAnsi" w:cstheme="minorHAnsi"/>
        </w:rPr>
        <w:t xml:space="preserve"> education savings account, programs like this are handouts to wealthy taxpayers </w:t>
      </w:r>
      <w:r>
        <w:rPr>
          <w:rFonts w:asciiTheme="minorHAnsi" w:hAnsiTheme="minorHAnsi" w:cstheme="minorHAnsi"/>
        </w:rPr>
        <w:t>and private schools like Choate, Taft, and Gunn</w:t>
      </w:r>
      <w:r w:rsidRPr="008322C7">
        <w:rPr>
          <w:rFonts w:asciiTheme="minorHAnsi" w:hAnsiTheme="minorHAnsi" w:cstheme="minorHAnsi"/>
        </w:rPr>
        <w:t xml:space="preserve">.  </w:t>
      </w:r>
    </w:p>
    <w:p w14:paraId="739B8C5A" w14:textId="77777777" w:rsidR="003C027E" w:rsidRPr="008322C7" w:rsidRDefault="003C027E" w:rsidP="003C027E">
      <w:pPr>
        <w:spacing w:after="120"/>
        <w:rPr>
          <w:rFonts w:asciiTheme="minorHAnsi" w:hAnsiTheme="minorHAnsi" w:cstheme="minorHAnsi"/>
        </w:rPr>
      </w:pPr>
      <w:r w:rsidRPr="008322C7">
        <w:rPr>
          <w:rFonts w:asciiTheme="minorHAnsi" w:hAnsiTheme="minorHAnsi" w:cstheme="minorHAnsi"/>
        </w:rPr>
        <w:t xml:space="preserve">Here is what concepts like </w:t>
      </w:r>
      <w:r>
        <w:rPr>
          <w:rFonts w:asciiTheme="minorHAnsi" w:hAnsiTheme="minorHAnsi" w:cstheme="minorHAnsi"/>
        </w:rPr>
        <w:t>t</w:t>
      </w:r>
      <w:r w:rsidRPr="008322C7">
        <w:rPr>
          <w:rFonts w:asciiTheme="minorHAnsi" w:hAnsiTheme="minorHAnsi" w:cstheme="minorHAnsi"/>
        </w:rPr>
        <w:t xml:space="preserve">ax </w:t>
      </w:r>
      <w:r>
        <w:rPr>
          <w:rFonts w:asciiTheme="minorHAnsi" w:hAnsiTheme="minorHAnsi" w:cstheme="minorHAnsi"/>
        </w:rPr>
        <w:t>c</w:t>
      </w:r>
      <w:r w:rsidRPr="008322C7">
        <w:rPr>
          <w:rFonts w:asciiTheme="minorHAnsi" w:hAnsiTheme="minorHAnsi" w:cstheme="minorHAnsi"/>
        </w:rPr>
        <w:t xml:space="preserve">redit </w:t>
      </w:r>
      <w:r>
        <w:rPr>
          <w:rFonts w:asciiTheme="minorHAnsi" w:hAnsiTheme="minorHAnsi" w:cstheme="minorHAnsi"/>
        </w:rPr>
        <w:t>s</w:t>
      </w:r>
      <w:r w:rsidRPr="008322C7">
        <w:rPr>
          <w:rFonts w:asciiTheme="minorHAnsi" w:hAnsiTheme="minorHAnsi" w:cstheme="minorHAnsi"/>
        </w:rPr>
        <w:t xml:space="preserve">cholarships and </w:t>
      </w:r>
      <w:r>
        <w:rPr>
          <w:rFonts w:asciiTheme="minorHAnsi" w:hAnsiTheme="minorHAnsi" w:cstheme="minorHAnsi"/>
        </w:rPr>
        <w:t>v</w:t>
      </w:r>
      <w:r w:rsidRPr="008322C7">
        <w:rPr>
          <w:rFonts w:asciiTheme="minorHAnsi" w:hAnsiTheme="minorHAnsi" w:cstheme="minorHAnsi"/>
        </w:rPr>
        <w:t>ouchers do</w:t>
      </w:r>
      <w:r>
        <w:rPr>
          <w:rFonts w:asciiTheme="minorHAnsi" w:hAnsiTheme="minorHAnsi" w:cstheme="minorHAnsi"/>
        </w:rPr>
        <w:t>:</w:t>
      </w:r>
    </w:p>
    <w:p w14:paraId="3164506F" w14:textId="77777777" w:rsidR="003C027E" w:rsidRPr="008322C7" w:rsidRDefault="003C027E" w:rsidP="003C027E">
      <w:pPr>
        <w:spacing w:after="120"/>
        <w:rPr>
          <w:rFonts w:asciiTheme="minorHAnsi" w:hAnsiTheme="minorHAnsi" w:cstheme="minorHAnsi"/>
        </w:rPr>
      </w:pPr>
      <w:r w:rsidRPr="008322C7">
        <w:rPr>
          <w:rFonts w:asciiTheme="minorHAnsi" w:hAnsiTheme="minorHAnsi" w:cstheme="minorHAnsi"/>
          <w:b/>
          <w:bCs/>
        </w:rPr>
        <w:t>Promote segregation</w:t>
      </w:r>
      <w:r w:rsidRPr="008322C7">
        <w:rPr>
          <w:rFonts w:asciiTheme="minorHAnsi" w:hAnsiTheme="minorHAnsi" w:cstheme="minorHAnsi"/>
        </w:rPr>
        <w:t>:  Th</w:t>
      </w:r>
      <w:r>
        <w:rPr>
          <w:rFonts w:asciiTheme="minorHAnsi" w:hAnsiTheme="minorHAnsi" w:cstheme="minorHAnsi"/>
        </w:rPr>
        <w:t>is type of</w:t>
      </w:r>
      <w:r w:rsidRPr="008322C7">
        <w:rPr>
          <w:rFonts w:asciiTheme="minorHAnsi" w:hAnsiTheme="minorHAnsi" w:cstheme="minorHAnsi"/>
        </w:rPr>
        <w:t xml:space="preserve"> program w</w:t>
      </w:r>
      <w:r>
        <w:rPr>
          <w:rFonts w:asciiTheme="minorHAnsi" w:hAnsiTheme="minorHAnsi" w:cstheme="minorHAnsi"/>
        </w:rPr>
        <w:t>as</w:t>
      </w:r>
      <w:r w:rsidRPr="008322C7">
        <w:rPr>
          <w:rFonts w:asciiTheme="minorHAnsi" w:hAnsiTheme="minorHAnsi" w:cstheme="minorHAnsi"/>
        </w:rPr>
        <w:t xml:space="preserve"> conceived </w:t>
      </w:r>
      <w:r>
        <w:rPr>
          <w:rFonts w:asciiTheme="minorHAnsi" w:hAnsiTheme="minorHAnsi" w:cstheme="minorHAnsi"/>
        </w:rPr>
        <w:t xml:space="preserve">of </w:t>
      </w:r>
      <w:proofErr w:type="gramStart"/>
      <w:r w:rsidRPr="008322C7">
        <w:rPr>
          <w:rFonts w:asciiTheme="minorHAnsi" w:hAnsiTheme="minorHAnsi" w:cstheme="minorHAnsi"/>
        </w:rPr>
        <w:t>as a way to</w:t>
      </w:r>
      <w:proofErr w:type="gramEnd"/>
      <w:r w:rsidRPr="008322C7">
        <w:rPr>
          <w:rFonts w:asciiTheme="minorHAnsi" w:hAnsiTheme="minorHAnsi" w:cstheme="minorHAnsi"/>
        </w:rPr>
        <w:t xml:space="preserve"> circumvent </w:t>
      </w:r>
      <w:r w:rsidRPr="00B04BAC">
        <w:rPr>
          <w:rFonts w:asciiTheme="minorHAnsi" w:hAnsiTheme="minorHAnsi" w:cstheme="minorHAnsi"/>
          <w:i/>
          <w:iCs/>
        </w:rPr>
        <w:t>Brown v. Board of Education</w:t>
      </w:r>
      <w:r w:rsidRPr="008322C7">
        <w:rPr>
          <w:rFonts w:asciiTheme="minorHAnsi" w:hAnsiTheme="minorHAnsi" w:cstheme="minorHAnsi"/>
        </w:rPr>
        <w:t xml:space="preserve"> and subsidize the cost of White parents sending their children to private schools with controlled enrollment policies.</w:t>
      </w:r>
    </w:p>
    <w:p w14:paraId="706E6FFD" w14:textId="77777777" w:rsidR="003C027E" w:rsidRPr="008322C7" w:rsidRDefault="003C027E" w:rsidP="003C027E">
      <w:pPr>
        <w:spacing w:after="120"/>
        <w:rPr>
          <w:rFonts w:asciiTheme="minorHAnsi" w:hAnsiTheme="minorHAnsi" w:cstheme="minorHAnsi"/>
        </w:rPr>
      </w:pPr>
      <w:r w:rsidRPr="008322C7">
        <w:rPr>
          <w:rFonts w:asciiTheme="minorHAnsi" w:hAnsiTheme="minorHAnsi" w:cstheme="minorHAnsi"/>
          <w:b/>
          <w:bCs/>
        </w:rPr>
        <w:t>Starve public schools of funds:</w:t>
      </w:r>
      <w:r w:rsidRPr="008322C7">
        <w:rPr>
          <w:rFonts w:asciiTheme="minorHAnsi" w:hAnsiTheme="minorHAnsi" w:cstheme="minorHAnsi"/>
        </w:rPr>
        <w:t xml:space="preserve">  They drain resources from public schools by reducing the amount </w:t>
      </w:r>
      <w:r>
        <w:rPr>
          <w:rFonts w:asciiTheme="minorHAnsi" w:hAnsiTheme="minorHAnsi" w:cstheme="minorHAnsi"/>
        </w:rPr>
        <w:t xml:space="preserve">of </w:t>
      </w:r>
      <w:r w:rsidRPr="008322C7">
        <w:rPr>
          <w:rFonts w:asciiTheme="minorHAnsi" w:hAnsiTheme="minorHAnsi" w:cstheme="minorHAnsi"/>
        </w:rPr>
        <w:t xml:space="preserve">revenue </w:t>
      </w:r>
      <w:r>
        <w:rPr>
          <w:rFonts w:asciiTheme="minorHAnsi" w:hAnsiTheme="minorHAnsi" w:cstheme="minorHAnsi"/>
        </w:rPr>
        <w:t xml:space="preserve">available </w:t>
      </w:r>
      <w:r w:rsidRPr="008322C7">
        <w:rPr>
          <w:rFonts w:asciiTheme="minorHAnsi" w:hAnsiTheme="minorHAnsi" w:cstheme="minorHAnsi"/>
        </w:rPr>
        <w:t>to fund ECS,</w:t>
      </w:r>
      <w:r>
        <w:rPr>
          <w:rFonts w:asciiTheme="minorHAnsi" w:hAnsiTheme="minorHAnsi" w:cstheme="minorHAnsi"/>
        </w:rPr>
        <w:t xml:space="preserve"> s</w:t>
      </w:r>
      <w:r w:rsidRPr="008322C7">
        <w:rPr>
          <w:rFonts w:asciiTheme="minorHAnsi" w:hAnsiTheme="minorHAnsi" w:cstheme="minorHAnsi"/>
        </w:rPr>
        <w:t xml:space="preserve">pecial </w:t>
      </w:r>
      <w:r>
        <w:rPr>
          <w:rFonts w:asciiTheme="minorHAnsi" w:hAnsiTheme="minorHAnsi" w:cstheme="minorHAnsi"/>
        </w:rPr>
        <w:t>e</w:t>
      </w:r>
      <w:r w:rsidRPr="008322C7">
        <w:rPr>
          <w:rFonts w:asciiTheme="minorHAnsi" w:hAnsiTheme="minorHAnsi" w:cstheme="minorHAnsi"/>
        </w:rPr>
        <w:t>ducation, and other key programs that support local schools.</w:t>
      </w:r>
    </w:p>
    <w:p w14:paraId="57CB298E" w14:textId="77777777" w:rsidR="003C027E" w:rsidRPr="008322C7" w:rsidRDefault="003C027E" w:rsidP="003C027E">
      <w:pPr>
        <w:spacing w:after="120"/>
        <w:rPr>
          <w:rFonts w:asciiTheme="minorHAnsi" w:hAnsiTheme="minorHAnsi" w:cstheme="minorHAnsi"/>
        </w:rPr>
      </w:pPr>
      <w:r w:rsidRPr="008322C7">
        <w:rPr>
          <w:rFonts w:asciiTheme="minorHAnsi" w:hAnsiTheme="minorHAnsi" w:cstheme="minorHAnsi"/>
          <w:b/>
          <w:bCs/>
        </w:rPr>
        <w:t>Falsely promote choice:</w:t>
      </w:r>
      <w:r w:rsidRPr="008322C7">
        <w:rPr>
          <w:rFonts w:asciiTheme="minorHAnsi" w:hAnsiTheme="minorHAnsi" w:cstheme="minorHAnsi"/>
        </w:rPr>
        <w:t xml:space="preserve">  These programs subsidize wealthy families who can already afford private education. They do not help low-income families who do not have income to pay additional tuition costs out of pocket or who don’t have tax liability sufficient to benefit from the credit.</w:t>
      </w:r>
    </w:p>
    <w:p w14:paraId="2806151D" w14:textId="77777777" w:rsidR="003C027E" w:rsidRPr="008322C7" w:rsidRDefault="003C027E" w:rsidP="003C027E">
      <w:pPr>
        <w:spacing w:after="120"/>
        <w:rPr>
          <w:rFonts w:asciiTheme="minorHAnsi" w:hAnsiTheme="minorHAnsi" w:cstheme="minorHAnsi"/>
        </w:rPr>
      </w:pPr>
      <w:r w:rsidRPr="008322C7">
        <w:rPr>
          <w:rFonts w:asciiTheme="minorHAnsi" w:hAnsiTheme="minorHAnsi" w:cstheme="minorHAnsi"/>
          <w:b/>
          <w:bCs/>
        </w:rPr>
        <w:lastRenderedPageBreak/>
        <w:t xml:space="preserve">Cause a decline in academic achievement:  </w:t>
      </w:r>
      <w:r w:rsidRPr="008322C7">
        <w:rPr>
          <w:rFonts w:asciiTheme="minorHAnsi" w:hAnsiTheme="minorHAnsi" w:cstheme="minorHAnsi"/>
        </w:rPr>
        <w:t>Numerous studies have shown that vouchers don’t improve academic achievement and, in many cases, result in worse achievement.  Studies of long-standing programs in Milwaukee, Cleveland, and Washington</w:t>
      </w:r>
      <w:r>
        <w:rPr>
          <w:rFonts w:asciiTheme="minorHAnsi" w:hAnsiTheme="minorHAnsi" w:cstheme="minorHAnsi"/>
        </w:rPr>
        <w:t>,</w:t>
      </w:r>
      <w:r w:rsidRPr="008322C7">
        <w:rPr>
          <w:rFonts w:asciiTheme="minorHAnsi" w:hAnsiTheme="minorHAnsi" w:cstheme="minorHAnsi"/>
        </w:rPr>
        <w:t xml:space="preserve"> D</w:t>
      </w:r>
      <w:r>
        <w:rPr>
          <w:rFonts w:asciiTheme="minorHAnsi" w:hAnsiTheme="minorHAnsi" w:cstheme="minorHAnsi"/>
        </w:rPr>
        <w:t>.</w:t>
      </w:r>
      <w:r w:rsidRPr="008322C7">
        <w:rPr>
          <w:rFonts w:asciiTheme="minorHAnsi" w:hAnsiTheme="minorHAnsi" w:cstheme="minorHAnsi"/>
        </w:rPr>
        <w:t>C</w:t>
      </w:r>
      <w:r>
        <w:rPr>
          <w:rFonts w:asciiTheme="minorHAnsi" w:hAnsiTheme="minorHAnsi" w:cstheme="minorHAnsi"/>
        </w:rPr>
        <w:t>.</w:t>
      </w:r>
      <w:r w:rsidRPr="008322C7">
        <w:rPr>
          <w:rFonts w:asciiTheme="minorHAnsi" w:hAnsiTheme="minorHAnsi" w:cstheme="minorHAnsi"/>
        </w:rPr>
        <w:t xml:space="preserve"> showed no improvement in reading and math. Studies of programs in Indiana, Louisiana, and Ohio showed diminishing performance.</w:t>
      </w:r>
      <w:r w:rsidRPr="008322C7">
        <w:rPr>
          <w:rStyle w:val="FootnoteReference"/>
          <w:rFonts w:asciiTheme="minorHAnsi" w:hAnsiTheme="minorHAnsi" w:cstheme="minorHAnsi"/>
        </w:rPr>
        <w:footnoteReference w:id="1"/>
      </w:r>
    </w:p>
    <w:p w14:paraId="0C64BBED" w14:textId="77777777" w:rsidR="003C027E" w:rsidRPr="008322C7" w:rsidRDefault="003C027E" w:rsidP="003C027E">
      <w:pPr>
        <w:spacing w:after="120"/>
        <w:rPr>
          <w:rFonts w:asciiTheme="minorHAnsi" w:hAnsiTheme="minorHAnsi" w:cstheme="minorHAnsi"/>
        </w:rPr>
      </w:pPr>
      <w:r w:rsidRPr="008322C7">
        <w:rPr>
          <w:rFonts w:asciiTheme="minorHAnsi" w:hAnsiTheme="minorHAnsi" w:cstheme="minorHAnsi"/>
          <w:b/>
          <w:bCs/>
        </w:rPr>
        <w:t>Subsidize wealthy families and corporations:</w:t>
      </w:r>
      <w:r w:rsidRPr="008322C7">
        <w:rPr>
          <w:rFonts w:asciiTheme="minorHAnsi" w:hAnsiTheme="minorHAnsi" w:cstheme="minorHAnsi"/>
        </w:rPr>
        <w:t xml:space="preserve">  Only those with significant tax liability (and therefore significant income) can benefit.  Some programs are structured to provide the benefit to corporations or the third-party pass-through entity.  In the end, it is the same shift of resources from those in need to the wealthy.</w:t>
      </w:r>
    </w:p>
    <w:p w14:paraId="0F8A2407" w14:textId="77777777" w:rsidR="003C027E" w:rsidRPr="008322C7" w:rsidRDefault="003C027E" w:rsidP="003C027E">
      <w:pPr>
        <w:spacing w:after="120"/>
        <w:rPr>
          <w:rFonts w:asciiTheme="minorHAnsi" w:hAnsiTheme="minorHAnsi" w:cstheme="minorHAnsi"/>
        </w:rPr>
      </w:pPr>
      <w:r w:rsidRPr="008322C7">
        <w:rPr>
          <w:rFonts w:asciiTheme="minorHAnsi" w:hAnsiTheme="minorHAnsi" w:cstheme="minorHAnsi"/>
          <w:b/>
          <w:bCs/>
        </w:rPr>
        <w:t>Reduce transparency and public oversight:</w:t>
      </w:r>
      <w:r w:rsidRPr="008322C7">
        <w:rPr>
          <w:rFonts w:asciiTheme="minorHAnsi" w:hAnsiTheme="minorHAnsi" w:cstheme="minorHAnsi"/>
        </w:rPr>
        <w:t xml:space="preserve">  Where programs like this have been put into place, little oversight has followed</w:t>
      </w:r>
      <w:r>
        <w:rPr>
          <w:rFonts w:asciiTheme="minorHAnsi" w:hAnsiTheme="minorHAnsi" w:cstheme="minorHAnsi"/>
        </w:rPr>
        <w:t>,</w:t>
      </w:r>
      <w:r w:rsidRPr="008322C7">
        <w:rPr>
          <w:rFonts w:asciiTheme="minorHAnsi" w:hAnsiTheme="minorHAnsi" w:cstheme="minorHAnsi"/>
        </w:rPr>
        <w:t xml:space="preserve"> resulting in fraud and profiteering.  Additionally, public funds are redirected to schools without public oversight or elected school boards.  In some cases, they are redirected to sectarian schools resulting in the state subsidizing religious perspectives in violation of the separation of church and state.</w:t>
      </w:r>
    </w:p>
    <w:p w14:paraId="4194EB79" w14:textId="77777777" w:rsidR="003C027E" w:rsidRPr="008322C7" w:rsidRDefault="003C027E" w:rsidP="003C027E">
      <w:pPr>
        <w:spacing w:after="120"/>
        <w:rPr>
          <w:rFonts w:asciiTheme="minorHAnsi" w:hAnsiTheme="minorHAnsi" w:cstheme="minorHAnsi"/>
        </w:rPr>
      </w:pPr>
      <w:r w:rsidRPr="008322C7">
        <w:rPr>
          <w:rFonts w:asciiTheme="minorHAnsi" w:hAnsiTheme="minorHAnsi" w:cstheme="minorHAnsi"/>
        </w:rPr>
        <w:t xml:space="preserve">In summary, CEA strongly opposes schemes to shift the cost of private K-12 schools to taxpayers via concepts like </w:t>
      </w:r>
      <w:r>
        <w:rPr>
          <w:rFonts w:asciiTheme="minorHAnsi" w:hAnsiTheme="minorHAnsi" w:cstheme="minorHAnsi"/>
        </w:rPr>
        <w:t>t</w:t>
      </w:r>
      <w:r w:rsidRPr="008322C7">
        <w:rPr>
          <w:rFonts w:asciiTheme="minorHAnsi" w:hAnsiTheme="minorHAnsi" w:cstheme="minorHAnsi"/>
        </w:rPr>
        <w:t xml:space="preserve">ax </w:t>
      </w:r>
      <w:r>
        <w:rPr>
          <w:rFonts w:asciiTheme="minorHAnsi" w:hAnsiTheme="minorHAnsi" w:cstheme="minorHAnsi"/>
        </w:rPr>
        <w:t>c</w:t>
      </w:r>
      <w:r w:rsidRPr="008322C7">
        <w:rPr>
          <w:rFonts w:asciiTheme="minorHAnsi" w:hAnsiTheme="minorHAnsi" w:cstheme="minorHAnsi"/>
        </w:rPr>
        <w:t xml:space="preserve">redit </w:t>
      </w:r>
      <w:r>
        <w:rPr>
          <w:rFonts w:asciiTheme="minorHAnsi" w:hAnsiTheme="minorHAnsi" w:cstheme="minorHAnsi"/>
        </w:rPr>
        <w:t>s</w:t>
      </w:r>
      <w:r w:rsidRPr="008322C7">
        <w:rPr>
          <w:rFonts w:asciiTheme="minorHAnsi" w:hAnsiTheme="minorHAnsi" w:cstheme="minorHAnsi"/>
        </w:rPr>
        <w:t xml:space="preserve">cholarships, </w:t>
      </w:r>
      <w:r>
        <w:rPr>
          <w:rFonts w:asciiTheme="minorHAnsi" w:hAnsiTheme="minorHAnsi" w:cstheme="minorHAnsi"/>
        </w:rPr>
        <w:t>e</w:t>
      </w:r>
      <w:r w:rsidRPr="008322C7">
        <w:rPr>
          <w:rFonts w:asciiTheme="minorHAnsi" w:hAnsiTheme="minorHAnsi" w:cstheme="minorHAnsi"/>
        </w:rPr>
        <w:t xml:space="preserve">ducation </w:t>
      </w:r>
      <w:r>
        <w:rPr>
          <w:rFonts w:asciiTheme="minorHAnsi" w:hAnsiTheme="minorHAnsi" w:cstheme="minorHAnsi"/>
        </w:rPr>
        <w:t>s</w:t>
      </w:r>
      <w:r w:rsidRPr="008322C7">
        <w:rPr>
          <w:rFonts w:asciiTheme="minorHAnsi" w:hAnsiTheme="minorHAnsi" w:cstheme="minorHAnsi"/>
        </w:rPr>
        <w:t xml:space="preserve">avings </w:t>
      </w:r>
      <w:r>
        <w:rPr>
          <w:rFonts w:asciiTheme="minorHAnsi" w:hAnsiTheme="minorHAnsi" w:cstheme="minorHAnsi"/>
        </w:rPr>
        <w:t>a</w:t>
      </w:r>
      <w:r w:rsidRPr="008322C7">
        <w:rPr>
          <w:rFonts w:asciiTheme="minorHAnsi" w:hAnsiTheme="minorHAnsi" w:cstheme="minorHAnsi"/>
        </w:rPr>
        <w:t xml:space="preserve">ccounts, </w:t>
      </w:r>
      <w:r>
        <w:rPr>
          <w:rFonts w:asciiTheme="minorHAnsi" w:hAnsiTheme="minorHAnsi" w:cstheme="minorHAnsi"/>
        </w:rPr>
        <w:t>v</w:t>
      </w:r>
      <w:r w:rsidRPr="008322C7">
        <w:rPr>
          <w:rFonts w:asciiTheme="minorHAnsi" w:hAnsiTheme="minorHAnsi" w:cstheme="minorHAnsi"/>
        </w:rPr>
        <w:t>ouchers, or any other similar mechanism.  We urge this committee’s rejection of HB 5424 and thank you for your consideration.</w:t>
      </w:r>
    </w:p>
    <w:p w14:paraId="4E11AA98" w14:textId="77777777" w:rsidR="00620830" w:rsidRDefault="00620830"/>
    <w:p w14:paraId="16CA5B45" w14:textId="77777777" w:rsidR="00AA7436" w:rsidRDefault="00AA7436"/>
    <w:p w14:paraId="6C1C1592" w14:textId="77777777" w:rsidR="00AA7436" w:rsidRDefault="00AA7436"/>
    <w:p w14:paraId="0C746207" w14:textId="77777777" w:rsidR="00B1720A" w:rsidRDefault="00B1720A"/>
    <w:p w14:paraId="67E14DE1" w14:textId="77777777" w:rsidR="00B1720A" w:rsidRDefault="00B1720A"/>
    <w:p w14:paraId="49759870" w14:textId="77777777" w:rsidR="00B1720A" w:rsidRDefault="00B1720A"/>
    <w:p w14:paraId="3F65E983" w14:textId="77777777" w:rsidR="00B1720A" w:rsidRDefault="00B1720A"/>
    <w:p w14:paraId="43BC24DA" w14:textId="77777777" w:rsidR="00B1720A" w:rsidRDefault="00B1720A"/>
    <w:p w14:paraId="23DE8601" w14:textId="77777777" w:rsidR="00B1720A" w:rsidRDefault="00B1720A"/>
    <w:p w14:paraId="2AC7A0CB" w14:textId="77777777" w:rsidR="00B1720A" w:rsidRDefault="00B1720A"/>
    <w:p w14:paraId="477049B6" w14:textId="77777777" w:rsidR="00B1720A" w:rsidRDefault="00B1720A"/>
    <w:p w14:paraId="39C8AD46" w14:textId="77777777" w:rsidR="00B1720A" w:rsidRDefault="00B1720A"/>
    <w:p w14:paraId="62AC2E52" w14:textId="77777777" w:rsidR="00B1720A" w:rsidRDefault="00B1720A"/>
    <w:p w14:paraId="0279DC1B" w14:textId="77777777" w:rsidR="00B1720A" w:rsidRDefault="00B1720A"/>
    <w:p w14:paraId="17FDA2E5" w14:textId="77777777" w:rsidR="00B1720A" w:rsidRDefault="00B1720A"/>
    <w:p w14:paraId="785EEFAD" w14:textId="77777777" w:rsidR="00B1720A" w:rsidRDefault="00B1720A"/>
    <w:p w14:paraId="6D1DB170" w14:textId="77777777" w:rsidR="00B1720A" w:rsidRDefault="00B1720A"/>
    <w:p w14:paraId="272CFD9D" w14:textId="77777777" w:rsidR="00B1720A" w:rsidRDefault="00B1720A"/>
    <w:p w14:paraId="040A477B" w14:textId="77777777" w:rsidR="00B1720A" w:rsidRDefault="00B1720A"/>
    <w:p w14:paraId="1964EC30" w14:textId="77777777" w:rsidR="00B1720A" w:rsidRDefault="00B1720A"/>
    <w:p w14:paraId="4FC5B13F" w14:textId="77777777" w:rsidR="00B1720A" w:rsidRDefault="00B1720A"/>
    <w:p w14:paraId="6E2DA67C" w14:textId="77777777" w:rsidR="00B1720A" w:rsidRDefault="00B1720A"/>
    <w:p w14:paraId="6858D2C3" w14:textId="77777777" w:rsidR="00B1720A" w:rsidRDefault="00B1720A"/>
    <w:p w14:paraId="329A7C73" w14:textId="77777777" w:rsidR="00B1720A" w:rsidRDefault="00B1720A"/>
    <w:p w14:paraId="6BA51A0C" w14:textId="77777777" w:rsidR="00B1720A" w:rsidRDefault="00B1720A"/>
    <w:p w14:paraId="37E52922" w14:textId="77777777" w:rsidR="00B1720A" w:rsidRDefault="00B1720A"/>
    <w:p w14:paraId="6D67D10B" w14:textId="77777777" w:rsidR="00B1720A" w:rsidRDefault="00B1720A"/>
    <w:p w14:paraId="42CB8F14" w14:textId="77777777" w:rsidR="00B1720A" w:rsidRDefault="00B1720A"/>
    <w:p w14:paraId="163CC451" w14:textId="77777777" w:rsidR="00B1720A" w:rsidRDefault="00B1720A"/>
    <w:p w14:paraId="344406EE" w14:textId="77777777" w:rsidR="00B1720A" w:rsidRDefault="00B1720A"/>
    <w:p w14:paraId="30CAB872" w14:textId="77777777" w:rsidR="00B1720A" w:rsidRDefault="00B1720A"/>
    <w:p w14:paraId="6C12BB0A" w14:textId="77777777" w:rsidR="00B1720A" w:rsidRDefault="00B1720A"/>
    <w:p w14:paraId="259E4F5E" w14:textId="77777777" w:rsidR="00B1720A" w:rsidRDefault="00B1720A"/>
    <w:p w14:paraId="45578FCE" w14:textId="77777777" w:rsidR="00B1720A" w:rsidRDefault="00B1720A"/>
    <w:p w14:paraId="4B34B6B0" w14:textId="77777777" w:rsidR="00B1720A" w:rsidRDefault="00B1720A"/>
    <w:p w14:paraId="40516A82" w14:textId="77777777" w:rsidR="00B1720A" w:rsidRDefault="00B1720A"/>
    <w:p w14:paraId="0E6FDEA3" w14:textId="77777777" w:rsidR="00AA7436" w:rsidRDefault="00AA7436"/>
    <w:p w14:paraId="74BCCBC8" w14:textId="77777777" w:rsidR="00AA7436" w:rsidRDefault="00AA7436"/>
    <w:p w14:paraId="09E2BD2F" w14:textId="77777777" w:rsidR="00AA7436" w:rsidRDefault="00AA7436"/>
    <w:p w14:paraId="5A805B8F" w14:textId="77777777" w:rsidR="00AA7436" w:rsidRDefault="00AA7436"/>
    <w:p w14:paraId="09457297" w14:textId="77777777" w:rsidR="00AA7436" w:rsidRDefault="00AA7436"/>
    <w:p w14:paraId="4849C513" w14:textId="77777777" w:rsidR="00AA7436" w:rsidRDefault="00AA7436"/>
    <w:p w14:paraId="511A48E9" w14:textId="77777777" w:rsidR="00AA7436" w:rsidRDefault="00AA7436"/>
    <w:p w14:paraId="786BF8C5" w14:textId="77777777" w:rsidR="00AA7436" w:rsidRDefault="00AA7436"/>
    <w:p w14:paraId="61338D82" w14:textId="77777777" w:rsidR="00AA7436" w:rsidRDefault="00AA7436"/>
    <w:p w14:paraId="11C89C74" w14:textId="77777777" w:rsidR="00AA7436" w:rsidRDefault="00AA7436"/>
    <w:p w14:paraId="5826DB04" w14:textId="77777777" w:rsidR="00AA7436" w:rsidRDefault="00AA7436"/>
    <w:p w14:paraId="65AD103A" w14:textId="77777777" w:rsidR="00AA7436" w:rsidRDefault="00AA7436"/>
    <w:p w14:paraId="3B5470DD" w14:textId="77777777" w:rsidR="00AA7436" w:rsidRDefault="00AA7436"/>
    <w:p w14:paraId="317AA86D" w14:textId="77777777" w:rsidR="00AA7436" w:rsidRDefault="00AA7436"/>
    <w:p w14:paraId="499C24C7" w14:textId="77777777" w:rsidR="00AA7436" w:rsidRDefault="00AA7436"/>
    <w:p w14:paraId="063BD591" w14:textId="77777777" w:rsidR="00AA7436" w:rsidRDefault="00AA7436"/>
    <w:p w14:paraId="407CC509" w14:textId="77777777" w:rsidR="00AA7436" w:rsidRDefault="00AA7436"/>
    <w:p w14:paraId="0D9FCE4D" w14:textId="77777777" w:rsidR="00AA7436" w:rsidRDefault="00AA7436"/>
    <w:p w14:paraId="46BA2641" w14:textId="77777777" w:rsidR="00AA7436" w:rsidRDefault="00AA7436"/>
    <w:p w14:paraId="6E5A73FC" w14:textId="77777777" w:rsidR="00AA7436" w:rsidRDefault="00AA7436"/>
    <w:p w14:paraId="1F208BBA" w14:textId="77777777" w:rsidR="00AA7436" w:rsidRDefault="00AA7436"/>
    <w:p w14:paraId="3E9D17BE" w14:textId="77777777" w:rsidR="00AA7436" w:rsidRDefault="00AA7436"/>
    <w:p w14:paraId="2BA49E34" w14:textId="77777777" w:rsidR="00AA7436" w:rsidRDefault="00AA7436"/>
    <w:p w14:paraId="655603FC" w14:textId="77777777" w:rsidR="00AA7436" w:rsidRDefault="00AA7436"/>
    <w:p w14:paraId="2FE3C53F" w14:textId="77777777" w:rsidR="00AA7436" w:rsidRDefault="00AA7436"/>
    <w:p w14:paraId="5012CE8A" w14:textId="77777777" w:rsidR="00AA7436" w:rsidRDefault="00AA7436"/>
    <w:p w14:paraId="7C8A5700" w14:textId="77777777" w:rsidR="00AA7436" w:rsidRDefault="00AA7436"/>
    <w:p w14:paraId="62389728" w14:textId="77777777" w:rsidR="00AA7436" w:rsidRDefault="00AA7436"/>
    <w:p w14:paraId="300BB29F" w14:textId="77777777" w:rsidR="00AA7436" w:rsidRDefault="00AA7436"/>
    <w:p w14:paraId="4BD0567A" w14:textId="77777777" w:rsidR="00AA7436" w:rsidRDefault="00AA7436"/>
    <w:sectPr w:rsidR="00AA7436" w:rsidSect="00EE23B6">
      <w:head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CEED" w14:textId="77777777" w:rsidR="00EE23B6" w:rsidRDefault="00EE23B6" w:rsidP="00AA7436">
      <w:r>
        <w:separator/>
      </w:r>
    </w:p>
  </w:endnote>
  <w:endnote w:type="continuationSeparator" w:id="0">
    <w:p w14:paraId="263FDFE6" w14:textId="77777777" w:rsidR="00EE23B6" w:rsidRDefault="00EE23B6" w:rsidP="00AA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A3AC" w14:textId="77777777" w:rsidR="00AA7436" w:rsidRDefault="00AA7436">
    <w:pPr>
      <w:pStyle w:val="Footer"/>
    </w:pPr>
    <w:r>
      <w:rPr>
        <w:noProof/>
      </w:rPr>
      <w:drawing>
        <wp:anchor distT="0" distB="0" distL="114300" distR="114300" simplePos="0" relativeHeight="251659264" behindDoc="0" locked="0" layoutInCell="1" allowOverlap="1" wp14:anchorId="3FCA9B92" wp14:editId="5ABF17E3">
          <wp:simplePos x="0" y="0"/>
          <wp:positionH relativeFrom="page">
            <wp:posOffset>167217</wp:posOffset>
          </wp:positionH>
          <wp:positionV relativeFrom="page">
            <wp:posOffset>9092565</wp:posOffset>
          </wp:positionV>
          <wp:extent cx="7671816" cy="1014984"/>
          <wp:effectExtent l="0" t="0" r="0" b="1270"/>
          <wp:wrapSquare wrapText="bothSides"/>
          <wp:docPr id="721745478"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45478" name="Picture 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71816" cy="10149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EC6F5" w14:textId="77777777" w:rsidR="00EE23B6" w:rsidRDefault="00EE23B6" w:rsidP="00AA7436">
      <w:r>
        <w:separator/>
      </w:r>
    </w:p>
  </w:footnote>
  <w:footnote w:type="continuationSeparator" w:id="0">
    <w:p w14:paraId="40043A8A" w14:textId="77777777" w:rsidR="00EE23B6" w:rsidRDefault="00EE23B6" w:rsidP="00AA7436">
      <w:r>
        <w:continuationSeparator/>
      </w:r>
    </w:p>
  </w:footnote>
  <w:footnote w:id="1">
    <w:p w14:paraId="091A4D03" w14:textId="77777777" w:rsidR="003C027E" w:rsidRPr="00E843F3" w:rsidRDefault="003C027E" w:rsidP="003C027E">
      <w:pPr>
        <w:autoSpaceDE w:val="0"/>
        <w:autoSpaceDN w:val="0"/>
        <w:adjustRightInd w:val="0"/>
        <w:rPr>
          <w:i/>
          <w:iCs/>
        </w:rPr>
      </w:pPr>
      <w:r>
        <w:rPr>
          <w:rStyle w:val="FootnoteReference"/>
        </w:rPr>
        <w:footnoteRef/>
      </w:r>
      <w:r w:rsidRPr="00E843F3">
        <w:rPr>
          <w:sz w:val="18"/>
          <w:szCs w:val="18"/>
        </w:rPr>
        <w:t xml:space="preserve"> See: </w:t>
      </w:r>
      <w:r w:rsidRPr="00E843F3">
        <w:rPr>
          <w:rFonts w:cstheme="minorHAnsi"/>
          <w:color w:val="5D245E"/>
          <w:sz w:val="18"/>
          <w:szCs w:val="18"/>
        </w:rPr>
        <w:t xml:space="preserve">R. Joseph Waddington &amp; Mark Berends, </w:t>
      </w:r>
      <w:r w:rsidRPr="00E843F3">
        <w:rPr>
          <w:rFonts w:cstheme="minorHAnsi"/>
          <w:color w:val="2291C5"/>
          <w:sz w:val="18"/>
          <w:szCs w:val="18"/>
        </w:rPr>
        <w:t>Impact of the Indiana Choice Scholarship Program: Achievement Effects for Students in Upper Elementary &amp; Middle School</w:t>
      </w:r>
      <w:r w:rsidRPr="00E843F3">
        <w:rPr>
          <w:rFonts w:cstheme="minorHAnsi"/>
          <w:color w:val="5D245E"/>
          <w:sz w:val="18"/>
          <w:szCs w:val="18"/>
        </w:rPr>
        <w:t xml:space="preserve">, 37 </w:t>
      </w:r>
      <w:r w:rsidRPr="00E843F3">
        <w:rPr>
          <w:rFonts w:cstheme="minorHAnsi"/>
          <w:i/>
          <w:iCs/>
          <w:color w:val="5D245E"/>
          <w:sz w:val="18"/>
          <w:szCs w:val="18"/>
        </w:rPr>
        <w:t>J. of Policy Analysis &amp; Mgmt</w:t>
      </w:r>
      <w:r w:rsidRPr="00E843F3">
        <w:rPr>
          <w:rFonts w:cstheme="minorHAnsi"/>
          <w:color w:val="5D245E"/>
          <w:sz w:val="18"/>
          <w:szCs w:val="18"/>
        </w:rPr>
        <w:t xml:space="preserve">. 4, 738-808 (Aug. 2018); Atila </w:t>
      </w:r>
      <w:proofErr w:type="spellStart"/>
      <w:r w:rsidRPr="00E843F3">
        <w:rPr>
          <w:rFonts w:cstheme="minorHAnsi"/>
          <w:color w:val="5D245E"/>
          <w:sz w:val="18"/>
          <w:szCs w:val="18"/>
        </w:rPr>
        <w:t>Abdulkadiroğlu</w:t>
      </w:r>
      <w:proofErr w:type="spellEnd"/>
      <w:r w:rsidRPr="00E843F3">
        <w:rPr>
          <w:rFonts w:cstheme="minorHAnsi"/>
          <w:color w:val="5D245E"/>
          <w:sz w:val="18"/>
          <w:szCs w:val="18"/>
        </w:rPr>
        <w:t xml:space="preserve">, Parag A. Pathak, &amp; Christopher R. Walters, </w:t>
      </w:r>
      <w:r w:rsidRPr="00E843F3">
        <w:rPr>
          <w:rFonts w:cstheme="minorHAnsi"/>
          <w:color w:val="2291C5"/>
          <w:sz w:val="18"/>
          <w:szCs w:val="18"/>
        </w:rPr>
        <w:t xml:space="preserve">Free to Choose: Can School Choice Reduce Student </w:t>
      </w:r>
      <w:proofErr w:type="gramStart"/>
      <w:r w:rsidRPr="00E843F3">
        <w:rPr>
          <w:rFonts w:cstheme="minorHAnsi"/>
          <w:color w:val="2291C5"/>
          <w:sz w:val="18"/>
          <w:szCs w:val="18"/>
        </w:rPr>
        <w:t>Achievement?</w:t>
      </w:r>
      <w:r w:rsidRPr="00E843F3">
        <w:rPr>
          <w:rFonts w:cstheme="minorHAnsi"/>
          <w:color w:val="5D245E"/>
          <w:sz w:val="18"/>
          <w:szCs w:val="18"/>
        </w:rPr>
        <w:t>,</w:t>
      </w:r>
      <w:proofErr w:type="gramEnd"/>
      <w:r w:rsidRPr="00E843F3">
        <w:rPr>
          <w:rFonts w:cstheme="minorHAnsi"/>
          <w:color w:val="5D245E"/>
          <w:sz w:val="18"/>
          <w:szCs w:val="18"/>
        </w:rPr>
        <w:t xml:space="preserve"> 10 </w:t>
      </w:r>
      <w:r w:rsidRPr="00E843F3">
        <w:rPr>
          <w:rFonts w:cstheme="minorHAnsi"/>
          <w:i/>
          <w:iCs/>
          <w:color w:val="5D245E"/>
          <w:sz w:val="18"/>
          <w:szCs w:val="18"/>
        </w:rPr>
        <w:t>Am. Econ. Journal: Applied Econ</w:t>
      </w:r>
      <w:r w:rsidRPr="00E843F3">
        <w:rPr>
          <w:rFonts w:cstheme="minorHAnsi"/>
          <w:color w:val="5D245E"/>
          <w:sz w:val="18"/>
          <w:szCs w:val="18"/>
        </w:rPr>
        <w:t xml:space="preserve">. 1, 175-206 (Jan. 2018); David </w:t>
      </w:r>
      <w:proofErr w:type="spellStart"/>
      <w:r w:rsidRPr="00E843F3">
        <w:rPr>
          <w:rFonts w:cstheme="minorHAnsi"/>
          <w:color w:val="5D245E"/>
          <w:sz w:val="18"/>
          <w:szCs w:val="18"/>
        </w:rPr>
        <w:t>Figlio</w:t>
      </w:r>
      <w:proofErr w:type="spellEnd"/>
      <w:r w:rsidRPr="00E843F3">
        <w:rPr>
          <w:rFonts w:cstheme="minorHAnsi"/>
          <w:color w:val="5D245E"/>
          <w:sz w:val="18"/>
          <w:szCs w:val="18"/>
        </w:rPr>
        <w:t xml:space="preserve"> &amp; Krzysztof </w:t>
      </w:r>
      <w:proofErr w:type="spellStart"/>
      <w:r w:rsidRPr="00E843F3">
        <w:rPr>
          <w:rFonts w:cstheme="minorHAnsi"/>
          <w:color w:val="5D245E"/>
          <w:sz w:val="18"/>
          <w:szCs w:val="18"/>
        </w:rPr>
        <w:t>Karbownik</w:t>
      </w:r>
      <w:proofErr w:type="spellEnd"/>
      <w:r w:rsidRPr="00E843F3">
        <w:rPr>
          <w:rFonts w:cstheme="minorHAnsi"/>
          <w:color w:val="5D245E"/>
          <w:sz w:val="18"/>
          <w:szCs w:val="18"/>
        </w:rPr>
        <w:t xml:space="preserve">, </w:t>
      </w:r>
      <w:r w:rsidRPr="00E843F3">
        <w:rPr>
          <w:rFonts w:cstheme="minorHAnsi"/>
          <w:color w:val="2291C5"/>
          <w:sz w:val="18"/>
          <w:szCs w:val="18"/>
        </w:rPr>
        <w:t xml:space="preserve">Evaluation of Ohio’s </w:t>
      </w:r>
      <w:proofErr w:type="spellStart"/>
      <w:r w:rsidRPr="00E843F3">
        <w:rPr>
          <w:rFonts w:cstheme="minorHAnsi"/>
          <w:color w:val="2291C5"/>
          <w:sz w:val="18"/>
          <w:szCs w:val="18"/>
        </w:rPr>
        <w:t>EdChoice</w:t>
      </w:r>
      <w:proofErr w:type="spellEnd"/>
      <w:r w:rsidRPr="00E843F3">
        <w:rPr>
          <w:rFonts w:cstheme="minorHAnsi"/>
          <w:color w:val="2291C5"/>
          <w:sz w:val="18"/>
          <w:szCs w:val="18"/>
        </w:rPr>
        <w:t xml:space="preserve"> Scholarship Program: Selection, Competition, &amp; Performance Effects</w:t>
      </w:r>
      <w:r w:rsidRPr="00E843F3">
        <w:rPr>
          <w:rFonts w:cstheme="minorHAnsi"/>
          <w:color w:val="5D245E"/>
          <w:sz w:val="18"/>
          <w:szCs w:val="18"/>
        </w:rPr>
        <w:t xml:space="preserve">, </w:t>
      </w:r>
      <w:r w:rsidRPr="00E843F3">
        <w:rPr>
          <w:rFonts w:cstheme="minorHAnsi"/>
          <w:i/>
          <w:iCs/>
          <w:color w:val="5D245E"/>
          <w:sz w:val="18"/>
          <w:szCs w:val="18"/>
        </w:rPr>
        <w:t xml:space="preserve">Fordham Inst. </w:t>
      </w:r>
      <w:r w:rsidRPr="00E843F3">
        <w:rPr>
          <w:rFonts w:cstheme="minorHAnsi"/>
          <w:color w:val="5D245E"/>
          <w:sz w:val="18"/>
          <w:szCs w:val="18"/>
        </w:rPr>
        <w:t xml:space="preserve">(July 2016); U.S. </w:t>
      </w:r>
      <w:proofErr w:type="spellStart"/>
      <w:r w:rsidRPr="00E843F3">
        <w:rPr>
          <w:rFonts w:cstheme="minorHAnsi"/>
          <w:color w:val="5D245E"/>
          <w:sz w:val="18"/>
          <w:szCs w:val="18"/>
        </w:rPr>
        <w:t>Dep’t</w:t>
      </w:r>
      <w:proofErr w:type="spellEnd"/>
      <w:r w:rsidRPr="00E843F3">
        <w:rPr>
          <w:rFonts w:cstheme="minorHAnsi"/>
          <w:color w:val="5D245E"/>
          <w:sz w:val="18"/>
          <w:szCs w:val="18"/>
        </w:rPr>
        <w:t xml:space="preserve"> of Educ., </w:t>
      </w:r>
      <w:r w:rsidRPr="00E843F3">
        <w:rPr>
          <w:rFonts w:cstheme="minorHAnsi"/>
          <w:color w:val="2291C5"/>
          <w:sz w:val="18"/>
          <w:szCs w:val="18"/>
        </w:rPr>
        <w:t xml:space="preserve">Evaluation of the DC Opportunity Scholarship Program: Impacts Two Years After Students Applied </w:t>
      </w:r>
      <w:r w:rsidRPr="00E843F3">
        <w:rPr>
          <w:rFonts w:cstheme="minorHAnsi"/>
          <w:color w:val="5D245E"/>
          <w:sz w:val="18"/>
          <w:szCs w:val="18"/>
        </w:rPr>
        <w:t xml:space="preserve">(June 2018); Megan </w:t>
      </w:r>
      <w:proofErr w:type="spellStart"/>
      <w:r w:rsidRPr="00E843F3">
        <w:rPr>
          <w:rFonts w:cstheme="minorHAnsi"/>
          <w:color w:val="5D245E"/>
          <w:sz w:val="18"/>
          <w:szCs w:val="18"/>
        </w:rPr>
        <w:t>Kuhfeld</w:t>
      </w:r>
      <w:proofErr w:type="spellEnd"/>
      <w:r w:rsidRPr="00E843F3">
        <w:rPr>
          <w:rFonts w:cstheme="minorHAnsi"/>
          <w:color w:val="5D245E"/>
          <w:sz w:val="18"/>
          <w:szCs w:val="18"/>
        </w:rPr>
        <w:t xml:space="preserve">, et al., </w:t>
      </w:r>
      <w:r w:rsidRPr="00E843F3">
        <w:rPr>
          <w:rFonts w:cstheme="minorHAnsi"/>
          <w:color w:val="2291C5"/>
          <w:sz w:val="18"/>
          <w:szCs w:val="18"/>
        </w:rPr>
        <w:t>The Pandemic Has Had Devastating Impacts on Learning</w:t>
      </w:r>
      <w:r w:rsidRPr="00E843F3">
        <w:rPr>
          <w:rFonts w:cstheme="minorHAnsi"/>
          <w:color w:val="5D245E"/>
          <w:sz w:val="18"/>
          <w:szCs w:val="18"/>
        </w:rPr>
        <w:t xml:space="preserve">. What Will It Take to Help Students Catch </w:t>
      </w:r>
      <w:proofErr w:type="gramStart"/>
      <w:r w:rsidRPr="00E843F3">
        <w:rPr>
          <w:rFonts w:cstheme="minorHAnsi"/>
          <w:color w:val="5D245E"/>
          <w:sz w:val="18"/>
          <w:szCs w:val="18"/>
        </w:rPr>
        <w:t>Up?,</w:t>
      </w:r>
      <w:proofErr w:type="gramEnd"/>
      <w:r w:rsidRPr="00E843F3">
        <w:rPr>
          <w:rFonts w:cstheme="minorHAnsi"/>
          <w:color w:val="5D245E"/>
          <w:sz w:val="18"/>
          <w:szCs w:val="18"/>
        </w:rPr>
        <w:t xml:space="preserve"> </w:t>
      </w:r>
      <w:r w:rsidRPr="00E843F3">
        <w:rPr>
          <w:rFonts w:cstheme="minorHAnsi"/>
          <w:i/>
          <w:iCs/>
          <w:color w:val="5D245E"/>
          <w:sz w:val="18"/>
          <w:szCs w:val="18"/>
        </w:rPr>
        <w:t xml:space="preserve">Brookings Inst. </w:t>
      </w:r>
      <w:r w:rsidRPr="00E843F3">
        <w:rPr>
          <w:rFonts w:cstheme="minorHAnsi"/>
          <w:color w:val="5D245E"/>
          <w:sz w:val="18"/>
          <w:szCs w:val="18"/>
        </w:rPr>
        <w:t>(Mar. 3, 2022)</w:t>
      </w:r>
      <w:r>
        <w:rPr>
          <w:rFonts w:cstheme="minorHAnsi"/>
          <w:color w:val="5D245E"/>
          <w:sz w:val="18"/>
          <w:szCs w:val="18"/>
        </w:rPr>
        <w:t>,</w:t>
      </w:r>
      <w:r w:rsidRPr="00E843F3">
        <w:rPr>
          <w:rFonts w:cstheme="minorHAnsi"/>
          <w:color w:val="5D245E"/>
          <w:sz w:val="18"/>
          <w:szCs w:val="18"/>
        </w:rPr>
        <w:t xml:space="preserve"> as cited in NCPE </w:t>
      </w:r>
      <w:r w:rsidRPr="00E843F3">
        <w:rPr>
          <w:rFonts w:cstheme="minorHAnsi"/>
          <w:i/>
          <w:iCs/>
          <w:color w:val="5D245E"/>
          <w:sz w:val="18"/>
          <w:szCs w:val="18"/>
        </w:rPr>
        <w:t>Opposing Private School Vouchers: A toolkit for Legislators and Advocates, (Feb.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900F" w14:textId="77777777" w:rsidR="00AA7436" w:rsidRDefault="00AA7436">
    <w:pPr>
      <w:pStyle w:val="Header"/>
    </w:pPr>
    <w:r>
      <w:rPr>
        <w:noProof/>
      </w:rPr>
      <w:drawing>
        <wp:anchor distT="0" distB="0" distL="114300" distR="114300" simplePos="0" relativeHeight="251660288" behindDoc="0" locked="0" layoutInCell="1" allowOverlap="1" wp14:anchorId="6450AEAC" wp14:editId="0649E53D">
          <wp:simplePos x="0" y="0"/>
          <wp:positionH relativeFrom="page">
            <wp:posOffset>-34290</wp:posOffset>
          </wp:positionH>
          <wp:positionV relativeFrom="page">
            <wp:posOffset>25400</wp:posOffset>
          </wp:positionV>
          <wp:extent cx="7827264" cy="512064"/>
          <wp:effectExtent l="0" t="0" r="0" b="0"/>
          <wp:wrapSquare wrapText="bothSides"/>
          <wp:docPr id="659765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65454" name="Picture 659765454"/>
                  <pic:cNvPicPr/>
                </pic:nvPicPr>
                <pic:blipFill>
                  <a:blip r:embed="rId1">
                    <a:extLst>
                      <a:ext uri="{28A0092B-C50C-407E-A947-70E740481C1C}">
                        <a14:useLocalDpi xmlns:a14="http://schemas.microsoft.com/office/drawing/2010/main" val="0"/>
                      </a:ext>
                    </a:extLst>
                  </a:blip>
                  <a:stretch>
                    <a:fillRect/>
                  </a:stretch>
                </pic:blipFill>
                <pic:spPr>
                  <a:xfrm>
                    <a:off x="0" y="0"/>
                    <a:ext cx="7827264" cy="5120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84A6" w14:textId="77777777" w:rsidR="00AA7436" w:rsidRDefault="00E84797">
    <w:pPr>
      <w:pStyle w:val="Header"/>
    </w:pPr>
    <w:r>
      <w:rPr>
        <w:noProof/>
      </w:rPr>
      <w:drawing>
        <wp:anchor distT="0" distB="0" distL="114300" distR="114300" simplePos="0" relativeHeight="251661312" behindDoc="0" locked="0" layoutInCell="1" allowOverlap="1" wp14:anchorId="5BEC0616" wp14:editId="08B26B4A">
          <wp:simplePos x="0" y="0"/>
          <wp:positionH relativeFrom="page">
            <wp:posOffset>8467</wp:posOffset>
          </wp:positionH>
          <wp:positionV relativeFrom="page">
            <wp:posOffset>16933</wp:posOffset>
          </wp:positionV>
          <wp:extent cx="7744968" cy="2276856"/>
          <wp:effectExtent l="0" t="0" r="2540" b="0"/>
          <wp:wrapSquare wrapText="bothSides"/>
          <wp:docPr id="67661336" name="Picture 1" descr="A close-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1336" name="Picture 1" descr="A close-up of a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4968" cy="227685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7E"/>
    <w:rsid w:val="003A553B"/>
    <w:rsid w:val="003C027E"/>
    <w:rsid w:val="00620830"/>
    <w:rsid w:val="00AA7436"/>
    <w:rsid w:val="00B1720A"/>
    <w:rsid w:val="00D00ECB"/>
    <w:rsid w:val="00E84797"/>
    <w:rsid w:val="00EE23B6"/>
    <w:rsid w:val="00F12660"/>
    <w:rsid w:val="00F52397"/>
    <w:rsid w:val="00F7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CC516"/>
  <w15:chartTrackingRefBased/>
  <w15:docId w15:val="{A4EC442D-8639-406C-A0B2-4BA6DCE5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27E"/>
    <w:rPr>
      <w:rFonts w:ascii="Times New Roman" w:eastAsia="Times New Roman" w:hAnsi="Times New Roman" w:cs="Times New Roman"/>
    </w:rPr>
  </w:style>
  <w:style w:type="paragraph" w:styleId="Heading1">
    <w:name w:val="heading 1"/>
    <w:basedOn w:val="Normal"/>
    <w:next w:val="Normal"/>
    <w:link w:val="Heading1Char"/>
    <w:uiPriority w:val="9"/>
    <w:qFormat/>
    <w:rsid w:val="00AA7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43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4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A743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A743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A743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A743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A743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4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4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4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436"/>
    <w:rPr>
      <w:rFonts w:eastAsiaTheme="majorEastAsia" w:cstheme="majorBidi"/>
      <w:color w:val="272727" w:themeColor="text1" w:themeTint="D8"/>
    </w:rPr>
  </w:style>
  <w:style w:type="paragraph" w:styleId="Title">
    <w:name w:val="Title"/>
    <w:basedOn w:val="Normal"/>
    <w:next w:val="Normal"/>
    <w:link w:val="TitleChar"/>
    <w:uiPriority w:val="10"/>
    <w:qFormat/>
    <w:rsid w:val="00AA74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43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436"/>
    <w:pPr>
      <w:spacing w:before="160" w:after="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AA7436"/>
    <w:rPr>
      <w:i/>
      <w:iCs/>
      <w:color w:val="404040" w:themeColor="text1" w:themeTint="BF"/>
    </w:rPr>
  </w:style>
  <w:style w:type="paragraph" w:styleId="ListParagraph">
    <w:name w:val="List Paragraph"/>
    <w:basedOn w:val="Normal"/>
    <w:uiPriority w:val="34"/>
    <w:qFormat/>
    <w:rsid w:val="00AA7436"/>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AA7436"/>
    <w:rPr>
      <w:i/>
      <w:iCs/>
      <w:color w:val="0F4761" w:themeColor="accent1" w:themeShade="BF"/>
    </w:rPr>
  </w:style>
  <w:style w:type="paragraph" w:styleId="IntenseQuote">
    <w:name w:val="Intense Quote"/>
    <w:basedOn w:val="Normal"/>
    <w:next w:val="Normal"/>
    <w:link w:val="IntenseQuoteChar"/>
    <w:uiPriority w:val="30"/>
    <w:qFormat/>
    <w:rsid w:val="00AA743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AA7436"/>
    <w:rPr>
      <w:i/>
      <w:iCs/>
      <w:color w:val="0F4761" w:themeColor="accent1" w:themeShade="BF"/>
    </w:rPr>
  </w:style>
  <w:style w:type="character" w:styleId="IntenseReference">
    <w:name w:val="Intense Reference"/>
    <w:basedOn w:val="DefaultParagraphFont"/>
    <w:uiPriority w:val="32"/>
    <w:qFormat/>
    <w:rsid w:val="00AA7436"/>
    <w:rPr>
      <w:b/>
      <w:bCs/>
      <w:smallCaps/>
      <w:color w:val="0F4761" w:themeColor="accent1" w:themeShade="BF"/>
      <w:spacing w:val="5"/>
    </w:rPr>
  </w:style>
  <w:style w:type="paragraph" w:styleId="Header">
    <w:name w:val="header"/>
    <w:basedOn w:val="Normal"/>
    <w:link w:val="HeaderChar"/>
    <w:uiPriority w:val="99"/>
    <w:unhideWhenUsed/>
    <w:rsid w:val="00AA743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A7436"/>
  </w:style>
  <w:style w:type="paragraph" w:styleId="Footer">
    <w:name w:val="footer"/>
    <w:basedOn w:val="Normal"/>
    <w:link w:val="FooterChar"/>
    <w:uiPriority w:val="99"/>
    <w:unhideWhenUsed/>
    <w:rsid w:val="00AA743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A7436"/>
  </w:style>
  <w:style w:type="character" w:styleId="FootnoteReference">
    <w:name w:val="footnote reference"/>
    <w:basedOn w:val="DefaultParagraphFont"/>
    <w:uiPriority w:val="99"/>
    <w:semiHidden/>
    <w:unhideWhenUsed/>
    <w:rsid w:val="003C02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J:\CEA%20Logo%202023\Letterhead\CEA%20Letterhead%20Feb%202024_Govern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09AC67157245BF8EB6DA075CA092" ma:contentTypeVersion="6" ma:contentTypeDescription="Create a new document." ma:contentTypeScope="" ma:versionID="96a8191b978fffdd67f00a0a09f7cde4">
  <xsd:schema xmlns:xsd="http://www.w3.org/2001/XMLSchema" xmlns:xs="http://www.w3.org/2001/XMLSchema" xmlns:p="http://schemas.microsoft.com/office/2006/metadata/properties" xmlns:ns2="0daec8a9-63e9-4ad6-a235-549ecdacbaf2" xmlns:ns3="301d9f95-7a87-46c3-9f0f-b27e4a36aa4b" targetNamespace="http://schemas.microsoft.com/office/2006/metadata/properties" ma:root="true" ma:fieldsID="c8661a8aebff7ba69157c4d2dfa8e955" ns2:_="" ns3:_="">
    <xsd:import namespace="0daec8a9-63e9-4ad6-a235-549ecdacbaf2"/>
    <xsd:import namespace="301d9f95-7a87-46c3-9f0f-b27e4a36a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ec8a9-63e9-4ad6-a235-549ecdac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d9f95-7a87-46c3-9f0f-b27e4a36a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FF203-A57F-4877-952F-9D1F33B73A96}"/>
</file>

<file path=customXml/itemProps2.xml><?xml version="1.0" encoding="utf-8"?>
<ds:datastoreItem xmlns:ds="http://schemas.openxmlformats.org/officeDocument/2006/customXml" ds:itemID="{D0573D06-4D28-4AF8-B8B5-7E46B1B2400E}"/>
</file>

<file path=customXml/itemProps3.xml><?xml version="1.0" encoding="utf-8"?>
<ds:datastoreItem xmlns:ds="http://schemas.openxmlformats.org/officeDocument/2006/customXml" ds:itemID="{1C3CD5A3-F8B1-4380-AA41-7A5EC6337382}"/>
</file>

<file path=docProps/app.xml><?xml version="1.0" encoding="utf-8"?>
<Properties xmlns="http://schemas.openxmlformats.org/officeDocument/2006/extended-properties" xmlns:vt="http://schemas.openxmlformats.org/officeDocument/2006/docPropsVTypes">
  <Template>CEA Letterhead Feb 2024_Governance</Template>
  <TotalTime>2</TotalTime>
  <Pages>4</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Kenneth [CT]</dc:creator>
  <cp:keywords/>
  <dc:description/>
  <cp:lastModifiedBy>Neal, Kenneth [CT]</cp:lastModifiedBy>
  <cp:revision>1</cp:revision>
  <dcterms:created xsi:type="dcterms:W3CDTF">2024-03-06T15:08:00Z</dcterms:created>
  <dcterms:modified xsi:type="dcterms:W3CDTF">2024-03-06T15:10:00Z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3e24689e-61d2-4366-92ad-915e720b3d2a</vt:lpwstr>
  </property>
  <property fmtid="{D5CDD505-2E9C-101B-9397-08002B2CF9AE}" pid="3" name="ContentTypeId">
    <vt:lpwstr>0x010100772609AC67157245BF8EB6DA075CA092</vt:lpwstr>
  </property>
</Properties>
</file>