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4978"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normaltextrun"/>
          <w:rFonts w:eastAsiaTheme="majorEastAsia"/>
          <w:i/>
          <w:iCs/>
          <w:sz w:val="26"/>
          <w:szCs w:val="26"/>
        </w:rPr>
        <w:t>Testimony of</w:t>
      </w:r>
      <w:r w:rsidRPr="005E411D">
        <w:rPr>
          <w:rStyle w:val="eop"/>
          <w:rFonts w:eastAsiaTheme="majorEastAsia"/>
          <w:sz w:val="26"/>
          <w:szCs w:val="26"/>
        </w:rPr>
        <w:t> </w:t>
      </w:r>
    </w:p>
    <w:p w14:paraId="03FE5A23"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4FD4A683" w14:textId="117ACA6E" w:rsidR="00C01A5B" w:rsidRPr="00C7180A" w:rsidRDefault="00C7180A" w:rsidP="00C01A5B">
      <w:pPr>
        <w:pStyle w:val="paragraph"/>
        <w:spacing w:before="0" w:beforeAutospacing="0" w:after="0" w:afterAutospacing="0"/>
        <w:jc w:val="center"/>
        <w:textAlignment w:val="baseline"/>
      </w:pPr>
      <w:r>
        <w:rPr>
          <w:rStyle w:val="normaltextrun"/>
          <w:rFonts w:eastAsiaTheme="majorEastAsia"/>
          <w:b/>
          <w:bCs/>
        </w:rPr>
        <w:t>Katherine Grant</w:t>
      </w:r>
    </w:p>
    <w:p w14:paraId="2C04D977" w14:textId="77777777" w:rsidR="00C01A5B" w:rsidRPr="00C7180A" w:rsidRDefault="00C01A5B" w:rsidP="00C01A5B">
      <w:pPr>
        <w:pStyle w:val="paragraph"/>
        <w:spacing w:before="0" w:beforeAutospacing="0" w:after="0" w:afterAutospacing="0"/>
        <w:jc w:val="center"/>
        <w:textAlignment w:val="baseline"/>
      </w:pPr>
      <w:r w:rsidRPr="00C7180A">
        <w:rPr>
          <w:rStyle w:val="normaltextrun"/>
          <w:rFonts w:eastAsiaTheme="majorEastAsia"/>
          <w:b/>
          <w:bCs/>
        </w:rPr>
        <w:t>Connecticut Education Association</w:t>
      </w:r>
      <w:r w:rsidRPr="00C7180A">
        <w:rPr>
          <w:rStyle w:val="eop"/>
          <w:rFonts w:eastAsiaTheme="majorEastAsia"/>
        </w:rPr>
        <w:t> </w:t>
      </w:r>
    </w:p>
    <w:p w14:paraId="511776F5" w14:textId="77777777" w:rsidR="00C01A5B" w:rsidRPr="00C7180A" w:rsidRDefault="00C01A5B" w:rsidP="00C01A5B">
      <w:pPr>
        <w:pStyle w:val="paragraph"/>
        <w:spacing w:before="0" w:beforeAutospacing="0" w:after="0" w:afterAutospacing="0"/>
        <w:jc w:val="center"/>
        <w:textAlignment w:val="baseline"/>
      </w:pPr>
      <w:r w:rsidRPr="00C7180A">
        <w:rPr>
          <w:rStyle w:val="eop"/>
          <w:rFonts w:eastAsiaTheme="majorEastAsia"/>
        </w:rPr>
        <w:t> </w:t>
      </w:r>
    </w:p>
    <w:p w14:paraId="0C3B6ED9" w14:textId="77777777" w:rsidR="00C01A5B" w:rsidRPr="00C7180A" w:rsidRDefault="00C01A5B" w:rsidP="00C01A5B">
      <w:pPr>
        <w:pStyle w:val="paragraph"/>
        <w:spacing w:before="0" w:beforeAutospacing="0" w:after="0" w:afterAutospacing="0"/>
        <w:jc w:val="center"/>
        <w:textAlignment w:val="baseline"/>
      </w:pPr>
      <w:r w:rsidRPr="00C7180A">
        <w:rPr>
          <w:rStyle w:val="normaltextrun"/>
          <w:rFonts w:eastAsiaTheme="majorEastAsia"/>
          <w:i/>
          <w:iCs/>
        </w:rPr>
        <w:t>Before the </w:t>
      </w:r>
      <w:r w:rsidRPr="00C7180A">
        <w:rPr>
          <w:rStyle w:val="eop"/>
          <w:rFonts w:eastAsiaTheme="majorEastAsia"/>
        </w:rPr>
        <w:t> </w:t>
      </w:r>
    </w:p>
    <w:p w14:paraId="5F182624" w14:textId="77777777" w:rsidR="00C01A5B" w:rsidRPr="00C7180A" w:rsidRDefault="00C01A5B" w:rsidP="00C01A5B">
      <w:pPr>
        <w:pStyle w:val="paragraph"/>
        <w:spacing w:before="0" w:beforeAutospacing="0" w:after="0" w:afterAutospacing="0"/>
        <w:jc w:val="center"/>
        <w:textAlignment w:val="baseline"/>
        <w:rPr>
          <w:rStyle w:val="eop"/>
          <w:rFonts w:eastAsiaTheme="majorEastAsia"/>
        </w:rPr>
      </w:pPr>
      <w:r w:rsidRPr="00C7180A">
        <w:rPr>
          <w:rStyle w:val="normaltextrun"/>
          <w:rFonts w:eastAsiaTheme="majorEastAsia"/>
          <w:b/>
          <w:bCs/>
        </w:rPr>
        <w:t>Education Committee</w:t>
      </w:r>
      <w:r w:rsidRPr="00C7180A">
        <w:rPr>
          <w:rStyle w:val="eop"/>
          <w:rFonts w:eastAsiaTheme="majorEastAsia"/>
        </w:rPr>
        <w:t> </w:t>
      </w:r>
    </w:p>
    <w:p w14:paraId="3C7C0C78" w14:textId="77777777" w:rsidR="00C01A5B" w:rsidRPr="00C7180A" w:rsidRDefault="00C01A5B" w:rsidP="00C01A5B">
      <w:pPr>
        <w:pStyle w:val="paragraph"/>
        <w:spacing w:before="0" w:beforeAutospacing="0" w:after="0" w:afterAutospacing="0"/>
        <w:jc w:val="center"/>
        <w:textAlignment w:val="baseline"/>
      </w:pPr>
      <w:r w:rsidRPr="00C7180A">
        <w:rPr>
          <w:rStyle w:val="eop"/>
          <w:rFonts w:eastAsiaTheme="majorEastAsia"/>
        </w:rPr>
        <w:t> </w:t>
      </w:r>
    </w:p>
    <w:p w14:paraId="7DF725D1" w14:textId="77777777" w:rsidR="00C01A5B" w:rsidRPr="00C7180A" w:rsidRDefault="00C01A5B" w:rsidP="00C01A5B">
      <w:pPr>
        <w:pStyle w:val="paragraph"/>
        <w:spacing w:before="0" w:beforeAutospacing="0" w:after="0" w:afterAutospacing="0"/>
        <w:jc w:val="center"/>
        <w:textAlignment w:val="baseline"/>
        <w:rPr>
          <w:rFonts w:eastAsiaTheme="minorEastAsia"/>
        </w:rPr>
      </w:pPr>
      <w:r w:rsidRPr="00C7180A">
        <w:rPr>
          <w:rStyle w:val="normaltextrun"/>
          <w:rFonts w:eastAsiaTheme="majorEastAsia"/>
        </w:rPr>
        <w:t>Re: </w:t>
      </w:r>
    </w:p>
    <w:p w14:paraId="0D72B50C" w14:textId="0F76DBBF" w:rsidR="00C01A5B" w:rsidRPr="00C7180A" w:rsidRDefault="00C01A5B" w:rsidP="00C01A5B">
      <w:pPr>
        <w:pStyle w:val="paragraph"/>
        <w:spacing w:before="0" w:beforeAutospacing="0" w:after="0" w:afterAutospacing="0"/>
        <w:jc w:val="center"/>
        <w:textAlignment w:val="baseline"/>
        <w:rPr>
          <w:rFonts w:eastAsiaTheme="minorEastAsia"/>
          <w:b/>
          <w:bCs/>
        </w:rPr>
      </w:pPr>
      <w:r w:rsidRPr="00C7180A">
        <w:rPr>
          <w:rFonts w:eastAsiaTheme="minorEastAsia"/>
          <w:b/>
          <w:bCs/>
        </w:rPr>
        <w:t xml:space="preserve">SB </w:t>
      </w:r>
      <w:r w:rsidR="00C7180A" w:rsidRPr="00C7180A">
        <w:rPr>
          <w:rFonts w:eastAsiaTheme="minorEastAsia"/>
          <w:b/>
          <w:bCs/>
        </w:rPr>
        <w:t>363</w:t>
      </w:r>
      <w:r w:rsidRPr="00C7180A">
        <w:rPr>
          <w:rFonts w:eastAsiaTheme="minorEastAsia"/>
          <w:b/>
          <w:bCs/>
        </w:rPr>
        <w:t xml:space="preserve"> </w:t>
      </w:r>
      <w:r w:rsidR="00C7180A" w:rsidRPr="00C7180A">
        <w:rPr>
          <w:rFonts w:eastAsiaTheme="minorEastAsia"/>
          <w:b/>
          <w:bCs/>
        </w:rPr>
        <w:t>AN ACT CONCERNING ASSORTED REVISIONS TO THE EDUCATION STATUTES</w:t>
      </w:r>
    </w:p>
    <w:p w14:paraId="5DEB3B35"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244B5704" w14:textId="7FBCA5AE" w:rsidR="00C01A5B" w:rsidRPr="005E411D" w:rsidRDefault="00C01A5B" w:rsidP="00C01A5B">
      <w:pPr>
        <w:jc w:val="center"/>
        <w:rPr>
          <w:rFonts w:ascii="Times New Roman" w:hAnsi="Times New Roman" w:cs="Times New Roman"/>
        </w:rPr>
      </w:pPr>
      <w:r w:rsidRPr="005E411D">
        <w:rPr>
          <w:rFonts w:ascii="Times New Roman" w:hAnsi="Times New Roman" w:cs="Times New Roman"/>
        </w:rPr>
        <w:t xml:space="preserve">March </w:t>
      </w:r>
      <w:r w:rsidR="00C7180A">
        <w:rPr>
          <w:rFonts w:ascii="Times New Roman" w:hAnsi="Times New Roman" w:cs="Times New Roman"/>
        </w:rPr>
        <w:t>11</w:t>
      </w:r>
      <w:r w:rsidRPr="005E411D">
        <w:rPr>
          <w:rFonts w:ascii="Times New Roman" w:hAnsi="Times New Roman" w:cs="Times New Roman"/>
        </w:rPr>
        <w:t>, 2024</w:t>
      </w:r>
    </w:p>
    <w:p w14:paraId="79560A78" w14:textId="77777777" w:rsidR="00C01A5B" w:rsidRPr="005E411D" w:rsidRDefault="00C01A5B" w:rsidP="00C01A5B">
      <w:pPr>
        <w:rPr>
          <w:rFonts w:ascii="Times New Roman" w:hAnsi="Times New Roman" w:cs="Times New Roman"/>
        </w:rPr>
      </w:pPr>
    </w:p>
    <w:p w14:paraId="4D9FC3A2"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Good afternoon, Senator McCrory, Representative Currey, Senator Berthel, Representative McCarty, and distinguished members of the Education Committee.</w:t>
      </w:r>
    </w:p>
    <w:p w14:paraId="0520EFE7" w14:textId="77777777" w:rsidR="00C7180A" w:rsidRPr="00C7180A" w:rsidRDefault="00C7180A" w:rsidP="00C7180A">
      <w:pPr>
        <w:rPr>
          <w:rFonts w:ascii="Times New Roman" w:eastAsia="Times New Roman" w:hAnsi="Times New Roman" w:cs="Times New Roman"/>
          <w:kern w:val="0"/>
          <w14:ligatures w14:val="none"/>
        </w:rPr>
      </w:pPr>
    </w:p>
    <w:p w14:paraId="5BA0206C"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My name is Katie Grant, and I work as an Organizer with the Connecticut Education Association on behalf of teachers across the state. I was previously a high school English teacher in Manchester, CT. </w:t>
      </w:r>
    </w:p>
    <w:p w14:paraId="2908AF38" w14:textId="77777777" w:rsidR="00C7180A" w:rsidRPr="00C7180A" w:rsidRDefault="00C7180A" w:rsidP="00C7180A">
      <w:pPr>
        <w:rPr>
          <w:rFonts w:ascii="Times New Roman" w:eastAsia="Times New Roman" w:hAnsi="Times New Roman" w:cs="Times New Roman"/>
          <w:kern w:val="0"/>
          <w14:ligatures w14:val="none"/>
        </w:rPr>
      </w:pPr>
    </w:p>
    <w:p w14:paraId="4D36C4F8"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 xml:space="preserve">I testify today in support of Senate Bill 363, specifically section 7 of the bill, which outlines that, “The results of such preservice performance assessment (the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shall not be used by (1) the State Board of Education to deny an application for the issuance of an initial educator certificate under section 10-145b, or (2)</w:t>
      </w:r>
      <w:r w:rsidRPr="00C7180A">
        <w:rPr>
          <w:rFonts w:ascii="Times New Roman" w:eastAsia="Times New Roman" w:hAnsi="Times New Roman" w:cs="Times New Roman"/>
          <w:color w:val="000000"/>
          <w:kern w:val="0"/>
          <w:u w:val="single"/>
          <w14:ligatures w14:val="none"/>
        </w:rPr>
        <w:t xml:space="preserve"> an institution of higher education to deny successful completion of a teacher preparation program</w:t>
      </w:r>
      <w:r w:rsidRPr="00C7180A">
        <w:rPr>
          <w:rFonts w:ascii="Times New Roman" w:eastAsia="Times New Roman" w:hAnsi="Times New Roman" w:cs="Times New Roman"/>
          <w:color w:val="000000"/>
          <w:kern w:val="0"/>
          <w14:ligatures w14:val="none"/>
        </w:rPr>
        <w:t>.”</w:t>
      </w:r>
    </w:p>
    <w:p w14:paraId="492F3ED3" w14:textId="77777777" w:rsidR="00C7180A" w:rsidRPr="00C7180A" w:rsidRDefault="00C7180A" w:rsidP="00C7180A">
      <w:pPr>
        <w:rPr>
          <w:rFonts w:ascii="Times New Roman" w:eastAsia="Times New Roman" w:hAnsi="Times New Roman" w:cs="Times New Roman"/>
          <w:kern w:val="0"/>
          <w14:ligatures w14:val="none"/>
        </w:rPr>
      </w:pPr>
    </w:p>
    <w:p w14:paraId="348A1199"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 xml:space="preserve">The legislature took an important step last year when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was decoupled from certification. As a former teacher candidate at UConn who was required to complete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I am immensely grateful because the repeal of this assessment is critical in our efforts to recruit, retain, and support the most qualified and dedicated teacher candidates. Thank you for this work. </w:t>
      </w:r>
    </w:p>
    <w:p w14:paraId="2FD1F878" w14:textId="77777777" w:rsidR="00C7180A" w:rsidRPr="00C7180A" w:rsidRDefault="00C7180A" w:rsidP="00C7180A">
      <w:pPr>
        <w:rPr>
          <w:rFonts w:ascii="Times New Roman" w:eastAsia="Times New Roman" w:hAnsi="Times New Roman" w:cs="Times New Roman"/>
          <w:kern w:val="0"/>
          <w14:ligatures w14:val="none"/>
        </w:rPr>
      </w:pPr>
    </w:p>
    <w:p w14:paraId="2535DDED"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lastRenderedPageBreak/>
        <w:t xml:space="preserve">Being required to complete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took away from my experience when I was student teaching because I had to complete a portfolio that was entirely inauthentic to my teaching context and style. The “lesson sequence” I had to teach for this test felt artificial to both the content of my teaching and the culture I had created in my classroom. It was so frustrating to know that I had to sacrifice time to complete a portfolio that would only provide me with scripted, rubric-based feedback instead reflecting on my practice with real, in-person people who knew me and knew my growth over the many years I spent preparing to become an educator. </w:t>
      </w:r>
    </w:p>
    <w:p w14:paraId="1E8F87C5" w14:textId="77777777" w:rsidR="00C7180A" w:rsidRPr="00C7180A" w:rsidRDefault="00C7180A" w:rsidP="00C7180A">
      <w:pPr>
        <w:rPr>
          <w:rFonts w:ascii="Times New Roman" w:eastAsia="Times New Roman" w:hAnsi="Times New Roman" w:cs="Times New Roman"/>
          <w:kern w:val="0"/>
          <w14:ligatures w14:val="none"/>
        </w:rPr>
      </w:pPr>
    </w:p>
    <w:p w14:paraId="03584CAA"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 xml:space="preserve">Beyond my individual experience with the portfolio, research asserts that the use of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is unwarranted on technical grounds. It is assessed to have alarming results from racial bias reviews. </w:t>
      </w:r>
      <w:proofErr w:type="gramStart"/>
      <w:r w:rsidRPr="00C7180A">
        <w:rPr>
          <w:rFonts w:ascii="Times New Roman" w:eastAsia="Times New Roman" w:hAnsi="Times New Roman" w:cs="Times New Roman"/>
          <w:color w:val="000000"/>
          <w:kern w:val="0"/>
          <w14:ligatures w14:val="none"/>
        </w:rPr>
        <w:t>And,</w:t>
      </w:r>
      <w:proofErr w:type="gramEnd"/>
      <w:r w:rsidRPr="00C7180A">
        <w:rPr>
          <w:rFonts w:ascii="Times New Roman" w:eastAsia="Times New Roman" w:hAnsi="Times New Roman" w:cs="Times New Roman"/>
          <w:color w:val="000000"/>
          <w:kern w:val="0"/>
          <w14:ligatures w14:val="none"/>
        </w:rPr>
        <w:t xml:space="preserve"> it operates as a gatekeeper, preventing qualified candidates from earning their initial teaching certification. The use of this portfolio has incredibly detrimental effects on future educators.</w:t>
      </w:r>
    </w:p>
    <w:p w14:paraId="6D81BCCB" w14:textId="77777777" w:rsidR="00C7180A" w:rsidRPr="00C7180A" w:rsidRDefault="00C7180A" w:rsidP="00C7180A">
      <w:pPr>
        <w:rPr>
          <w:rFonts w:ascii="Times New Roman" w:eastAsia="Times New Roman" w:hAnsi="Times New Roman" w:cs="Times New Roman"/>
          <w:kern w:val="0"/>
          <w14:ligatures w14:val="none"/>
        </w:rPr>
      </w:pPr>
    </w:p>
    <w:p w14:paraId="2534A9F0"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 xml:space="preserve">Yet, under the current legislation,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can still be used as an accountability metric for Educator Prep Programs, where candidates are required to complete the portfolio </w:t>
      </w:r>
      <w:proofErr w:type="gramStart"/>
      <w:r w:rsidRPr="00C7180A">
        <w:rPr>
          <w:rFonts w:ascii="Times New Roman" w:eastAsia="Times New Roman" w:hAnsi="Times New Roman" w:cs="Times New Roman"/>
          <w:color w:val="000000"/>
          <w:kern w:val="0"/>
          <w14:ligatures w14:val="none"/>
        </w:rPr>
        <w:t>in order to</w:t>
      </w:r>
      <w:proofErr w:type="gramEnd"/>
      <w:r w:rsidRPr="00C7180A">
        <w:rPr>
          <w:rFonts w:ascii="Times New Roman" w:eastAsia="Times New Roman" w:hAnsi="Times New Roman" w:cs="Times New Roman"/>
          <w:color w:val="000000"/>
          <w:kern w:val="0"/>
          <w14:ligatures w14:val="none"/>
        </w:rPr>
        <w:t xml:space="preserve"> complete their program requirements–which they need for certification. Without this important addition to the current language, teacher candidates are being asked to complete a process that we know is an inauthentic measurement of their capacities and readiness, that we know is not valid or reliable, that we know is not a fair assessment across certain demographics of teacher candidates, and that we know is a cost-burden to hold their prep programs accountable. </w:t>
      </w:r>
    </w:p>
    <w:p w14:paraId="70682F21" w14:textId="77777777" w:rsidR="00C7180A" w:rsidRPr="00C7180A" w:rsidRDefault="00C7180A" w:rsidP="00C7180A">
      <w:pPr>
        <w:rPr>
          <w:rFonts w:ascii="Times New Roman" w:eastAsia="Times New Roman" w:hAnsi="Times New Roman" w:cs="Times New Roman"/>
          <w:kern w:val="0"/>
          <w14:ligatures w14:val="none"/>
        </w:rPr>
      </w:pPr>
    </w:p>
    <w:p w14:paraId="67E5081C"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If this portfolio is not a good metric for certification, it should also not be considered a good metric for completion of a program. </w:t>
      </w:r>
    </w:p>
    <w:p w14:paraId="58751594" w14:textId="77777777" w:rsidR="00C7180A" w:rsidRPr="00C7180A" w:rsidRDefault="00C7180A" w:rsidP="00C7180A">
      <w:pPr>
        <w:rPr>
          <w:rFonts w:ascii="Times New Roman" w:eastAsia="Times New Roman" w:hAnsi="Times New Roman" w:cs="Times New Roman"/>
          <w:kern w:val="0"/>
          <w14:ligatures w14:val="none"/>
        </w:rPr>
      </w:pPr>
    </w:p>
    <w:p w14:paraId="1EC9AED3"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 xml:space="preserve">The legislature has taken an important step in ensuring that teacher candidates have certification requirements that are aligned with our values in the state and that implement good teaching practices. This proposed change ensures that those good teaching practices are upheld during a candidate’s time in an educator preparation program as well. I ask that you also consider adding additional language that outlines that if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is used, it should be done so at no cost to the teacher candidate. This will help to ensure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does not pose as a financial barrier to entering the teaching profession for a teacher candidate. </w:t>
      </w:r>
    </w:p>
    <w:p w14:paraId="3A44A93F" w14:textId="77777777" w:rsidR="00C7180A" w:rsidRPr="00C7180A" w:rsidRDefault="00C7180A" w:rsidP="00C7180A">
      <w:pPr>
        <w:rPr>
          <w:rFonts w:ascii="Times New Roman" w:eastAsia="Times New Roman" w:hAnsi="Times New Roman" w:cs="Times New Roman"/>
          <w:kern w:val="0"/>
          <w14:ligatures w14:val="none"/>
        </w:rPr>
      </w:pPr>
    </w:p>
    <w:p w14:paraId="771DB27F" w14:textId="77777777" w:rsidR="00C7180A" w:rsidRPr="00C7180A" w:rsidRDefault="00C7180A" w:rsidP="00C7180A">
      <w:pPr>
        <w:rPr>
          <w:rFonts w:ascii="Times New Roman" w:eastAsia="Times New Roman" w:hAnsi="Times New Roman" w:cs="Times New Roman"/>
          <w:color w:val="000000"/>
          <w:kern w:val="0"/>
          <w14:ligatures w14:val="none"/>
        </w:rPr>
      </w:pPr>
      <w:r w:rsidRPr="00C7180A">
        <w:rPr>
          <w:rFonts w:ascii="Times New Roman" w:eastAsia="Times New Roman" w:hAnsi="Times New Roman" w:cs="Times New Roman"/>
          <w:color w:val="000000"/>
          <w:kern w:val="0"/>
          <w14:ligatures w14:val="none"/>
        </w:rPr>
        <w:t xml:space="preserve">We know that schools are vital institutions for communities and individuals. We know that compassionate, capable adults who help run our schools play a critical role in the lives of young people. And we know that every student deserves a </w:t>
      </w:r>
      <w:proofErr w:type="gramStart"/>
      <w:r w:rsidRPr="00C7180A">
        <w:rPr>
          <w:rFonts w:ascii="Times New Roman" w:eastAsia="Times New Roman" w:hAnsi="Times New Roman" w:cs="Times New Roman"/>
          <w:color w:val="000000"/>
          <w:kern w:val="0"/>
          <w14:ligatures w14:val="none"/>
        </w:rPr>
        <w:t>highly-skilled</w:t>
      </w:r>
      <w:proofErr w:type="gramEnd"/>
      <w:r w:rsidRPr="00C7180A">
        <w:rPr>
          <w:rFonts w:ascii="Times New Roman" w:eastAsia="Times New Roman" w:hAnsi="Times New Roman" w:cs="Times New Roman"/>
          <w:color w:val="000000"/>
          <w:kern w:val="0"/>
          <w14:ligatures w14:val="none"/>
        </w:rPr>
        <w:t xml:space="preserve"> teacher at all stages of their education. This bill helps to make these ideals a reality in our state and aids in supporting the recruiting and retaining of teachers in a more sustainable profession.</w:t>
      </w:r>
    </w:p>
    <w:p w14:paraId="49559F75" w14:textId="77777777" w:rsidR="00C7180A" w:rsidRPr="00C7180A" w:rsidRDefault="00C7180A" w:rsidP="00C7180A">
      <w:pPr>
        <w:rPr>
          <w:rFonts w:ascii="Times New Roman" w:eastAsia="Times New Roman" w:hAnsi="Times New Roman" w:cs="Times New Roman"/>
          <w:color w:val="000000"/>
          <w:kern w:val="0"/>
          <w14:ligatures w14:val="none"/>
        </w:rPr>
      </w:pPr>
    </w:p>
    <w:p w14:paraId="74D325F1" w14:textId="77777777" w:rsidR="00C7180A" w:rsidRPr="00C7180A" w:rsidRDefault="00C7180A" w:rsidP="00C7180A">
      <w:pPr>
        <w:rPr>
          <w:rFonts w:ascii="Times New Roman" w:eastAsia="Times New Roman" w:hAnsi="Times New Roman" w:cs="Times New Roman"/>
          <w:kern w:val="0"/>
          <w14:ligatures w14:val="none"/>
        </w:rPr>
      </w:pPr>
      <w:r w:rsidRPr="00C7180A">
        <w:rPr>
          <w:rFonts w:ascii="Times New Roman" w:eastAsia="Times New Roman" w:hAnsi="Times New Roman" w:cs="Times New Roman"/>
          <w:color w:val="000000"/>
          <w:kern w:val="0"/>
          <w14:ligatures w14:val="none"/>
        </w:rPr>
        <w:t xml:space="preserve">I ask you to support SB 363, and specifically section 7, to continue your support of teacher candidates across the state and to clarify that if a student is required to complete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that it is at no cost to the student. </w:t>
      </w:r>
    </w:p>
    <w:p w14:paraId="6363719B" w14:textId="77777777" w:rsidR="00C7180A" w:rsidRPr="00C7180A" w:rsidRDefault="00C7180A" w:rsidP="00C7180A">
      <w:pPr>
        <w:rPr>
          <w:rFonts w:ascii="Times New Roman" w:eastAsia="Times New Roman" w:hAnsi="Times New Roman" w:cs="Times New Roman"/>
          <w:kern w:val="0"/>
          <w14:ligatures w14:val="none"/>
        </w:rPr>
      </w:pPr>
    </w:p>
    <w:p w14:paraId="790A263D" w14:textId="77777777" w:rsidR="00C7180A" w:rsidRPr="00C7180A" w:rsidRDefault="00C7180A" w:rsidP="00C7180A">
      <w:pPr>
        <w:rPr>
          <w:rFonts w:ascii="Times New Roman" w:eastAsia="Times New Roman" w:hAnsi="Times New Roman" w:cs="Times New Roman"/>
          <w:color w:val="000000"/>
          <w:kern w:val="0"/>
          <w14:ligatures w14:val="none"/>
        </w:rPr>
      </w:pPr>
      <w:r w:rsidRPr="00C7180A">
        <w:rPr>
          <w:rFonts w:ascii="Times New Roman" w:eastAsia="Times New Roman" w:hAnsi="Times New Roman" w:cs="Times New Roman"/>
          <w:color w:val="000000"/>
          <w:kern w:val="0"/>
          <w14:ligatures w14:val="none"/>
        </w:rPr>
        <w:t>Thank you for your work on behalf of students, teachers, and future teachers in the state and for your consideration of this matter.</w:t>
      </w:r>
    </w:p>
    <w:p w14:paraId="1569F7AF" w14:textId="77777777" w:rsidR="00C7180A" w:rsidRPr="00C7180A" w:rsidRDefault="00C7180A" w:rsidP="00C7180A">
      <w:pPr>
        <w:rPr>
          <w:rFonts w:ascii="Times New Roman" w:eastAsia="Times New Roman" w:hAnsi="Times New Roman" w:cs="Times New Roman"/>
          <w:color w:val="000000"/>
          <w:kern w:val="0"/>
          <w14:ligatures w14:val="none"/>
        </w:rPr>
      </w:pPr>
    </w:p>
    <w:p w14:paraId="1D4FC26D" w14:textId="77777777" w:rsidR="00C7180A" w:rsidRPr="00C7180A" w:rsidRDefault="00C7180A" w:rsidP="00C7180A">
      <w:pPr>
        <w:rPr>
          <w:rFonts w:ascii="Times New Roman" w:eastAsia="Times New Roman" w:hAnsi="Times New Roman" w:cs="Times New Roman"/>
          <w:color w:val="000000"/>
          <w:kern w:val="0"/>
          <w14:ligatures w14:val="none"/>
        </w:rPr>
      </w:pPr>
      <w:r w:rsidRPr="00C7180A">
        <w:rPr>
          <w:rFonts w:ascii="Times New Roman" w:eastAsia="Times New Roman" w:hAnsi="Times New Roman" w:cs="Times New Roman"/>
          <w:color w:val="000000"/>
          <w:kern w:val="0"/>
          <w14:ligatures w14:val="none"/>
        </w:rPr>
        <w:t xml:space="preserve">Please see below for more information regarding </w:t>
      </w:r>
      <w:proofErr w:type="spellStart"/>
      <w:r w:rsidRPr="00C7180A">
        <w:rPr>
          <w:rFonts w:ascii="Times New Roman" w:eastAsia="Times New Roman" w:hAnsi="Times New Roman" w:cs="Times New Roman"/>
          <w:color w:val="000000"/>
          <w:kern w:val="0"/>
          <w14:ligatures w14:val="none"/>
        </w:rPr>
        <w:t>edTPA</w:t>
      </w:r>
      <w:proofErr w:type="spellEnd"/>
      <w:r w:rsidRPr="00C7180A">
        <w:rPr>
          <w:rFonts w:ascii="Times New Roman" w:eastAsia="Times New Roman" w:hAnsi="Times New Roman" w:cs="Times New Roman"/>
          <w:color w:val="000000"/>
          <w:kern w:val="0"/>
          <w14:ligatures w14:val="none"/>
        </w:rPr>
        <w:t xml:space="preserve"> from the fact sheet I helped to develop last year: </w:t>
      </w:r>
    </w:p>
    <w:p w14:paraId="17E29EE0" w14:textId="77777777" w:rsidR="00C7180A" w:rsidRDefault="00C7180A" w:rsidP="00C7180A">
      <w:pPr>
        <w:rPr>
          <w:rFonts w:ascii="Arial" w:eastAsia="Times New Roman" w:hAnsi="Arial" w:cs="Arial"/>
          <w:color w:val="000000"/>
          <w:kern w:val="0"/>
          <w14:ligatures w14:val="none"/>
        </w:rPr>
      </w:pPr>
    </w:p>
    <w:tbl>
      <w:tblPr>
        <w:tblW w:w="9620" w:type="dxa"/>
        <w:tblCellMar>
          <w:top w:w="15" w:type="dxa"/>
          <w:left w:w="15" w:type="dxa"/>
          <w:bottom w:w="15" w:type="dxa"/>
          <w:right w:w="15" w:type="dxa"/>
        </w:tblCellMar>
        <w:tblLook w:val="04A0" w:firstRow="1" w:lastRow="0" w:firstColumn="1" w:lastColumn="0" w:noHBand="0" w:noVBand="1"/>
      </w:tblPr>
      <w:tblGrid>
        <w:gridCol w:w="9620"/>
      </w:tblGrid>
      <w:tr w:rsidR="00C7180A" w:rsidRPr="005C6FC3" w14:paraId="11F6141C" w14:textId="77777777" w:rsidTr="002E710B">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5B198"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is not valid. </w:t>
            </w:r>
          </w:p>
          <w:p w14:paraId="4BAAF33A" w14:textId="77777777" w:rsidR="00C7180A" w:rsidRPr="00537BD4" w:rsidRDefault="00C7180A" w:rsidP="00C7180A">
            <w:pPr>
              <w:numPr>
                <w:ilvl w:val="0"/>
                <w:numId w:val="3"/>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/Pearson has not released the validation metrics for outside analysis. </w:t>
            </w:r>
          </w:p>
          <w:p w14:paraId="7841DE32" w14:textId="77777777" w:rsidR="00C7180A" w:rsidRPr="00537BD4" w:rsidRDefault="00C7180A" w:rsidP="00C7180A">
            <w:pPr>
              <w:numPr>
                <w:ilvl w:val="0"/>
                <w:numId w:val="3"/>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There is no peer-reviewed evidence that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scores predict teacher candidate readiness to teach.</w:t>
            </w:r>
          </w:p>
        </w:tc>
      </w:tr>
      <w:tr w:rsidR="00C7180A" w:rsidRPr="005C6FC3" w14:paraId="45EBE2C6" w14:textId="77777777" w:rsidTr="002E710B">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E3809"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is not reliable. </w:t>
            </w:r>
          </w:p>
          <w:p w14:paraId="27687E26" w14:textId="77777777" w:rsidR="00C7180A" w:rsidRPr="00537BD4" w:rsidRDefault="00C7180A" w:rsidP="00C7180A">
            <w:pPr>
              <w:numPr>
                <w:ilvl w:val="0"/>
                <w:numId w:val="4"/>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Gitomer et al. (2021) examination of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“raise[ed] serious concerns about scoring design, the reliability of the assessments, and the consequential impact on decisions about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candidates.”</w:t>
            </w:r>
          </w:p>
          <w:p w14:paraId="6EBC3937" w14:textId="77777777" w:rsidR="00C7180A" w:rsidRPr="00537BD4" w:rsidRDefault="00C7180A" w:rsidP="00C7180A">
            <w:pPr>
              <w:numPr>
                <w:ilvl w:val="0"/>
                <w:numId w:val="4"/>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They argue that the use of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is unwarranted on technical grounds and should not be used as a high-stakes assessment (Gitomer, et al., 2021). </w:t>
            </w:r>
          </w:p>
        </w:tc>
      </w:tr>
      <w:tr w:rsidR="00C7180A" w:rsidRPr="005C6FC3" w14:paraId="28DC3EE1" w14:textId="77777777" w:rsidTr="002E710B">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7A013"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is not an authentic measure of student teachers’ capacities or readiness. </w:t>
            </w:r>
          </w:p>
          <w:p w14:paraId="737499B8" w14:textId="77777777" w:rsidR="00C7180A" w:rsidRPr="00537BD4" w:rsidRDefault="00C7180A" w:rsidP="00C7180A">
            <w:pPr>
              <w:numPr>
                <w:ilvl w:val="0"/>
                <w:numId w:val="5"/>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scoring is decontextualized from the student teaching experience. The rater never meets the candidate, the students, cooperating teacher, nor the university supervisor. </w:t>
            </w:r>
          </w:p>
          <w:p w14:paraId="5B3A171C" w14:textId="77777777" w:rsidR="00C7180A" w:rsidRPr="00537BD4" w:rsidRDefault="00C7180A" w:rsidP="00C7180A">
            <w:pPr>
              <w:numPr>
                <w:ilvl w:val="0"/>
                <w:numId w:val="5"/>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Teaching videos and reflections required by the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do not reflect the complexity and multifaceted aspect of teaching.</w:t>
            </w:r>
          </w:p>
          <w:p w14:paraId="5E958355" w14:textId="77777777" w:rsidR="00C7180A" w:rsidRPr="00537BD4" w:rsidRDefault="00C7180A" w:rsidP="00C7180A">
            <w:pPr>
              <w:numPr>
                <w:ilvl w:val="0"/>
                <w:numId w:val="5"/>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is “performative” and is more of a proxy of students writing fluency than ability to teach. </w:t>
            </w:r>
          </w:p>
        </w:tc>
      </w:tr>
      <w:tr w:rsidR="00C7180A" w:rsidRPr="005C6FC3" w14:paraId="714F41EC" w14:textId="77777777" w:rsidTr="002E710B">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4FFE7"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diminishes professionalization of the teaching profession. </w:t>
            </w:r>
          </w:p>
          <w:p w14:paraId="51BA034E" w14:textId="77777777" w:rsidR="00C7180A" w:rsidRPr="00537BD4" w:rsidRDefault="00C7180A" w:rsidP="00C7180A">
            <w:pPr>
              <w:numPr>
                <w:ilvl w:val="0"/>
                <w:numId w:val="6"/>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The use of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reduces professionalism because it narrows the student teaching experience and school of education curricula to “teaching to a test” and monopolizes time during clinical coursework.  </w:t>
            </w:r>
          </w:p>
          <w:p w14:paraId="681D9EA0" w14:textId="77777777" w:rsidR="00C7180A" w:rsidRPr="00537BD4" w:rsidRDefault="00C7180A" w:rsidP="00C7180A">
            <w:pPr>
              <w:numPr>
                <w:ilvl w:val="0"/>
                <w:numId w:val="6"/>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reduces the professionalism of teacher educators by giving a singular, outside, anonymous “evaluator” the power to overrule the decisions of qualified and experienced teacher educators and cooperating teachers. </w:t>
            </w:r>
          </w:p>
          <w:p w14:paraId="535B516A" w14:textId="77777777" w:rsidR="00C7180A" w:rsidRPr="00537BD4" w:rsidRDefault="00C7180A" w:rsidP="00C7180A">
            <w:pPr>
              <w:numPr>
                <w:ilvl w:val="0"/>
                <w:numId w:val="6"/>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has been criticized by several professional organizations (such as the National Association of Special Education Association Teachers), who argue that their own standards of excellence are not reflected in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standards. This undermines the authority of professional organizations. </w:t>
            </w:r>
          </w:p>
        </w:tc>
      </w:tr>
      <w:tr w:rsidR="00C7180A" w:rsidRPr="005C6FC3" w14:paraId="353B4356" w14:textId="77777777" w:rsidTr="002E710B">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0E297"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is not a fair assessment across demographics of student teachers. </w:t>
            </w:r>
          </w:p>
          <w:p w14:paraId="1F21650B" w14:textId="77777777" w:rsidR="00C7180A" w:rsidRPr="00537BD4" w:rsidRDefault="00C7180A" w:rsidP="00C7180A">
            <w:pPr>
              <w:numPr>
                <w:ilvl w:val="0"/>
                <w:numId w:val="7"/>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Petchauer</w:t>
            </w:r>
            <w:proofErr w:type="spellEnd"/>
            <w:r w:rsidRPr="00537BD4">
              <w:rPr>
                <w:rFonts w:ascii="Arial" w:eastAsia="Times New Roman" w:hAnsi="Arial" w:cs="Arial"/>
                <w:color w:val="000000"/>
                <w:kern w:val="0"/>
                <w:sz w:val="20"/>
                <w:szCs w:val="20"/>
                <w14:ligatures w14:val="none"/>
              </w:rPr>
              <w:t xml:space="preserve"> </w:t>
            </w:r>
            <w:proofErr w:type="gramStart"/>
            <w:r w:rsidRPr="00537BD4">
              <w:rPr>
                <w:rFonts w:ascii="Arial" w:eastAsia="Times New Roman" w:hAnsi="Arial" w:cs="Arial"/>
                <w:color w:val="000000"/>
                <w:kern w:val="0"/>
                <w:sz w:val="20"/>
                <w:szCs w:val="20"/>
                <w14:ligatures w14:val="none"/>
              </w:rPr>
              <w:t>et al.(</w:t>
            </w:r>
            <w:proofErr w:type="gramEnd"/>
            <w:r w:rsidRPr="00537BD4">
              <w:rPr>
                <w:rFonts w:ascii="Arial" w:eastAsia="Times New Roman" w:hAnsi="Arial" w:cs="Arial"/>
                <w:color w:val="000000"/>
                <w:kern w:val="0"/>
                <w:sz w:val="20"/>
                <w:szCs w:val="20"/>
                <w14:ligatures w14:val="none"/>
              </w:rPr>
              <w:t xml:space="preserve">2018) found “mixed and alarming results from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racial bias reviews,” noting: </w:t>
            </w:r>
          </w:p>
          <w:p w14:paraId="5F2E1496" w14:textId="77777777" w:rsidR="00C7180A" w:rsidRPr="00537BD4" w:rsidRDefault="00C7180A" w:rsidP="00C7180A">
            <w:pPr>
              <w:numPr>
                <w:ilvl w:val="1"/>
                <w:numId w:val="7"/>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“In the state of Washington in 2012-2013, Latinx teacher candidates were 3 times more likely to fail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compared with White candidates.”</w:t>
            </w:r>
          </w:p>
          <w:p w14:paraId="05D8A42C" w14:textId="77777777" w:rsidR="00C7180A" w:rsidRPr="00537BD4" w:rsidRDefault="00C7180A" w:rsidP="00C7180A">
            <w:pPr>
              <w:numPr>
                <w:ilvl w:val="1"/>
                <w:numId w:val="7"/>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Therefore,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produces “...mixed and alarming results from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racial bias reviews… the exam may constrain or permit justice.” (p. 323) </w:t>
            </w:r>
          </w:p>
          <w:p w14:paraId="631EF21E" w14:textId="77777777" w:rsidR="00C7180A" w:rsidRPr="00537BD4" w:rsidRDefault="00C7180A" w:rsidP="00C7180A">
            <w:pPr>
              <w:numPr>
                <w:ilvl w:val="0"/>
                <w:numId w:val="7"/>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operates as a gatekeeper preventing qualified candidates from earning their initial teaching certification, which is especially concerning during a teaching shortage (</w:t>
            </w:r>
            <w:proofErr w:type="spellStart"/>
            <w:r w:rsidRPr="00537BD4">
              <w:rPr>
                <w:rFonts w:ascii="Arial" w:eastAsia="Times New Roman" w:hAnsi="Arial" w:cs="Arial"/>
                <w:color w:val="000000"/>
                <w:kern w:val="0"/>
                <w:sz w:val="20"/>
                <w:szCs w:val="20"/>
                <w14:ligatures w14:val="none"/>
              </w:rPr>
              <w:t>Okraski</w:t>
            </w:r>
            <w:proofErr w:type="spellEnd"/>
            <w:r w:rsidRPr="00537BD4">
              <w:rPr>
                <w:rFonts w:ascii="Arial" w:eastAsia="Times New Roman" w:hAnsi="Arial" w:cs="Arial"/>
                <w:color w:val="000000"/>
                <w:kern w:val="0"/>
                <w:sz w:val="20"/>
                <w:szCs w:val="20"/>
                <w14:ligatures w14:val="none"/>
              </w:rPr>
              <w:t xml:space="preserve"> &amp; </w:t>
            </w:r>
            <w:proofErr w:type="spellStart"/>
            <w:r w:rsidRPr="00537BD4">
              <w:rPr>
                <w:rFonts w:ascii="Arial" w:eastAsia="Times New Roman" w:hAnsi="Arial" w:cs="Arial"/>
                <w:color w:val="000000"/>
                <w:kern w:val="0"/>
                <w:sz w:val="20"/>
                <w:szCs w:val="20"/>
                <w14:ligatures w14:val="none"/>
              </w:rPr>
              <w:t>Kissau</w:t>
            </w:r>
            <w:proofErr w:type="spellEnd"/>
            <w:r w:rsidRPr="00537BD4">
              <w:rPr>
                <w:rFonts w:ascii="Arial" w:eastAsia="Times New Roman" w:hAnsi="Arial" w:cs="Arial"/>
                <w:color w:val="000000"/>
                <w:kern w:val="0"/>
                <w:sz w:val="20"/>
                <w:szCs w:val="20"/>
                <w14:ligatures w14:val="none"/>
              </w:rPr>
              <w:t>, 2018). </w:t>
            </w:r>
          </w:p>
        </w:tc>
      </w:tr>
      <w:tr w:rsidR="00C7180A" w:rsidRPr="005C6FC3" w14:paraId="10B690F4" w14:textId="77777777" w:rsidTr="002E710B">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1D4C"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is infrequently used.  </w:t>
            </w:r>
          </w:p>
          <w:p w14:paraId="4FD7CB65" w14:textId="77777777" w:rsidR="00C7180A" w:rsidRPr="00537BD4" w:rsidRDefault="00C7180A" w:rsidP="00C7180A">
            <w:pPr>
              <w:numPr>
                <w:ilvl w:val="0"/>
                <w:numId w:val="8"/>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Only 3 states, including Connecticut, mandate the use of the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portfolio–the other two are Utah and Alabama. </w:t>
            </w:r>
          </w:p>
          <w:p w14:paraId="24A2B2EA" w14:textId="77777777" w:rsidR="00C7180A" w:rsidRPr="00537BD4" w:rsidRDefault="00C7180A" w:rsidP="00C7180A">
            <w:pPr>
              <w:numPr>
                <w:ilvl w:val="0"/>
                <w:numId w:val="8"/>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In the past 5 years, at least 6 states (including New Jersey and New York) have eliminated the use of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Many states eliminated the portfolio in response to their teacher shortages. </w:t>
            </w:r>
          </w:p>
        </w:tc>
      </w:tr>
      <w:tr w:rsidR="00C7180A" w:rsidRPr="005C6FC3" w14:paraId="423B63AC" w14:textId="77777777" w:rsidTr="002E710B">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3A13B"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does not allow for continual program improvement. </w:t>
            </w:r>
          </w:p>
          <w:p w14:paraId="25AD1DF1" w14:textId="77777777" w:rsidR="00C7180A" w:rsidRPr="00537BD4" w:rsidRDefault="00C7180A" w:rsidP="00C7180A">
            <w:pPr>
              <w:numPr>
                <w:ilvl w:val="0"/>
                <w:numId w:val="9"/>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is a summative, not a formative evaluation. In the basic principles of teaching, formative assessment data is used to make modifications to teaching practices; </w:t>
            </w:r>
            <w:proofErr w:type="spellStart"/>
            <w:r w:rsidRPr="00537BD4">
              <w:rPr>
                <w:rFonts w:ascii="Arial" w:eastAsia="Times New Roman" w:hAnsi="Arial" w:cs="Arial"/>
                <w:color w:val="000000"/>
                <w:kern w:val="0"/>
                <w:sz w:val="20"/>
                <w:szCs w:val="20"/>
                <w14:ligatures w14:val="none"/>
              </w:rPr>
              <w:t>summatives</w:t>
            </w:r>
            <w:proofErr w:type="spellEnd"/>
            <w:r w:rsidRPr="00537BD4">
              <w:rPr>
                <w:rFonts w:ascii="Arial" w:eastAsia="Times New Roman" w:hAnsi="Arial" w:cs="Arial"/>
                <w:color w:val="000000"/>
                <w:kern w:val="0"/>
                <w:sz w:val="20"/>
                <w:szCs w:val="20"/>
                <w14:ligatures w14:val="none"/>
              </w:rPr>
              <w:t xml:space="preserve"> are not. </w:t>
            </w:r>
          </w:p>
          <w:p w14:paraId="7D62614B" w14:textId="77777777" w:rsidR="00C7180A" w:rsidRPr="00537BD4" w:rsidRDefault="00C7180A" w:rsidP="00C7180A">
            <w:pPr>
              <w:numPr>
                <w:ilvl w:val="0"/>
                <w:numId w:val="9"/>
              </w:numPr>
              <w:spacing w:after="100"/>
              <w:textAlignment w:val="baseline"/>
              <w:rPr>
                <w:rFonts w:ascii="Arial" w:eastAsia="Times New Roman" w:hAnsi="Arial" w:cs="Arial"/>
                <w:color w:val="000000"/>
                <w:kern w:val="0"/>
                <w:sz w:val="20"/>
                <w:szCs w:val="20"/>
                <w14:ligatures w14:val="none"/>
              </w:rPr>
            </w:pP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provides a singular data-point representing the qualifications of TCs and does not provide any feedback to teacher educators or to teacher education programs. </w:t>
            </w:r>
          </w:p>
        </w:tc>
      </w:tr>
      <w:tr w:rsidR="00C7180A" w:rsidRPr="005C6FC3" w14:paraId="5F3EE193" w14:textId="77777777" w:rsidTr="002E710B">
        <w:trPr>
          <w:trHeight w:val="3209"/>
        </w:trPr>
        <w:tc>
          <w:tcPr>
            <w:tcW w:w="9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B86D6" w14:textId="77777777" w:rsidR="00C7180A" w:rsidRPr="00537BD4" w:rsidRDefault="00C7180A" w:rsidP="002E710B">
            <w:pPr>
              <w:spacing w:after="100"/>
              <w:rPr>
                <w:rFonts w:ascii="Times New Roman" w:eastAsia="Times New Roman" w:hAnsi="Times New Roman" w:cs="Times New Roman"/>
                <w:kern w:val="0"/>
                <w:sz w:val="20"/>
                <w:szCs w:val="20"/>
                <w14:ligatures w14:val="none"/>
              </w:rPr>
            </w:pPr>
            <w:proofErr w:type="spellStart"/>
            <w:r w:rsidRPr="00537BD4">
              <w:rPr>
                <w:rFonts w:ascii="Arial" w:eastAsia="Times New Roman" w:hAnsi="Arial" w:cs="Arial"/>
                <w:b/>
                <w:bCs/>
                <w:color w:val="000000"/>
                <w:kern w:val="0"/>
                <w:sz w:val="20"/>
                <w:szCs w:val="20"/>
                <w14:ligatures w14:val="none"/>
              </w:rPr>
              <w:t>edTPA</w:t>
            </w:r>
            <w:proofErr w:type="spellEnd"/>
            <w:r w:rsidRPr="00537BD4">
              <w:rPr>
                <w:rFonts w:ascii="Arial" w:eastAsia="Times New Roman" w:hAnsi="Arial" w:cs="Arial"/>
                <w:b/>
                <w:bCs/>
                <w:color w:val="000000"/>
                <w:kern w:val="0"/>
                <w:sz w:val="20"/>
                <w:szCs w:val="20"/>
                <w14:ligatures w14:val="none"/>
              </w:rPr>
              <w:t xml:space="preserve"> is an additional cost-burden and stressor on teacher candidates. </w:t>
            </w:r>
          </w:p>
          <w:p w14:paraId="6720B946" w14:textId="77777777" w:rsidR="00C7180A" w:rsidRPr="00537BD4" w:rsidRDefault="00C7180A" w:rsidP="00C7180A">
            <w:pPr>
              <w:numPr>
                <w:ilvl w:val="0"/>
                <w:numId w:val="10"/>
              </w:numPr>
              <w:spacing w:after="100"/>
              <w:textAlignment w:val="baseline"/>
              <w:rPr>
                <w:rFonts w:ascii="Arial" w:eastAsia="Times New Roman" w:hAnsi="Arial" w:cs="Arial"/>
                <w:b/>
                <w:bCs/>
                <w:color w:val="000000"/>
                <w:kern w:val="0"/>
                <w:sz w:val="20"/>
                <w:szCs w:val="20"/>
                <w14:ligatures w14:val="none"/>
              </w:rPr>
            </w:pPr>
            <w:r w:rsidRPr="00537BD4">
              <w:rPr>
                <w:rFonts w:ascii="Arial" w:eastAsia="Times New Roman" w:hAnsi="Arial" w:cs="Arial"/>
                <w:color w:val="000000"/>
                <w:kern w:val="0"/>
                <w:sz w:val="20"/>
                <w:szCs w:val="20"/>
                <w14:ligatures w14:val="none"/>
              </w:rPr>
              <w:t>TCs must pay $300, which goes directly from students of Connecticut to a private, for-profit company based outside of the state. </w:t>
            </w:r>
          </w:p>
          <w:p w14:paraId="6D70A43E" w14:textId="77777777" w:rsidR="00C7180A" w:rsidRPr="00537BD4" w:rsidRDefault="00C7180A" w:rsidP="00C7180A">
            <w:pPr>
              <w:numPr>
                <w:ilvl w:val="0"/>
                <w:numId w:val="10"/>
              </w:numPr>
              <w:spacing w:after="100"/>
              <w:textAlignment w:val="baseline"/>
              <w:rPr>
                <w:rFonts w:ascii="Arial" w:eastAsia="Times New Roman" w:hAnsi="Arial" w:cs="Arial"/>
                <w:b/>
                <w:bCs/>
                <w:color w:val="000000"/>
                <w:kern w:val="0"/>
                <w:sz w:val="20"/>
                <w:szCs w:val="20"/>
                <w14:ligatures w14:val="none"/>
              </w:rPr>
            </w:pPr>
            <w:r w:rsidRPr="00537BD4">
              <w:rPr>
                <w:rFonts w:ascii="Arial" w:eastAsia="Times New Roman" w:hAnsi="Arial" w:cs="Arial"/>
                <w:color w:val="000000"/>
                <w:kern w:val="0"/>
                <w:sz w:val="20"/>
                <w:szCs w:val="20"/>
                <w14:ligatures w14:val="none"/>
              </w:rPr>
              <w:t xml:space="preserve">This cost occurs in addition to other cost-burdens on TCs: Currently, candidates pay upwards of $800 to over $1000 in out-of-pocket in standardized testing fees (e.g., </w:t>
            </w:r>
            <w:r w:rsidRPr="00537BD4">
              <w:rPr>
                <w:rFonts w:ascii="Arial" w:eastAsia="Times New Roman" w:hAnsi="Arial" w:cs="Arial"/>
                <w:color w:val="000000"/>
                <w:kern w:val="0"/>
                <w:sz w:val="20"/>
                <w:szCs w:val="20"/>
                <w:shd w:val="clear" w:color="auto" w:fill="FFFFFF"/>
                <w14:ligatures w14:val="none"/>
              </w:rPr>
              <w:t xml:space="preserve">CT Foundations of Reading test (Pearson) ($139), CTCE) Early Childhood exam ($139), </w:t>
            </w:r>
            <w:r w:rsidRPr="00537BD4">
              <w:rPr>
                <w:rFonts w:ascii="Arial" w:eastAsia="Times New Roman" w:hAnsi="Arial" w:cs="Arial"/>
                <w:color w:val="000000"/>
                <w:kern w:val="0"/>
                <w:sz w:val="20"/>
                <w:szCs w:val="20"/>
                <w14:ligatures w14:val="none"/>
              </w:rPr>
              <w:t xml:space="preserve">Praxis Core ($150) / SAT, Praxis Content ($209),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($300), just to earn their initial teaching license. </w:t>
            </w:r>
          </w:p>
          <w:p w14:paraId="1559DB5B" w14:textId="77777777" w:rsidR="00C7180A" w:rsidRPr="00537BD4" w:rsidRDefault="00C7180A" w:rsidP="00C7180A">
            <w:pPr>
              <w:numPr>
                <w:ilvl w:val="0"/>
                <w:numId w:val="10"/>
              </w:numPr>
              <w:spacing w:after="100"/>
              <w:textAlignment w:val="baseline"/>
              <w:rPr>
                <w:rFonts w:ascii="Arial" w:eastAsia="Times New Roman" w:hAnsi="Arial" w:cs="Arial"/>
                <w:color w:val="000000"/>
                <w:kern w:val="0"/>
                <w:sz w:val="20"/>
                <w:szCs w:val="20"/>
                <w14:ligatures w14:val="none"/>
              </w:rPr>
            </w:pPr>
            <w:r w:rsidRPr="00537BD4">
              <w:rPr>
                <w:rFonts w:ascii="Arial" w:eastAsia="Times New Roman" w:hAnsi="Arial" w:cs="Arial"/>
                <w:color w:val="000000"/>
                <w:kern w:val="0"/>
                <w:sz w:val="20"/>
                <w:szCs w:val="20"/>
                <w14:ligatures w14:val="none"/>
              </w:rPr>
              <w:t>If a candidate does not pass all or part of the required standardized tests, they may have to pay to retake it each time. </w:t>
            </w:r>
          </w:p>
          <w:p w14:paraId="3340FD36" w14:textId="77777777" w:rsidR="00C7180A" w:rsidRPr="00537BD4" w:rsidRDefault="00C7180A" w:rsidP="00C7180A">
            <w:pPr>
              <w:numPr>
                <w:ilvl w:val="0"/>
                <w:numId w:val="10"/>
              </w:numPr>
              <w:spacing w:after="100"/>
              <w:textAlignment w:val="baseline"/>
              <w:rPr>
                <w:rFonts w:ascii="Arial" w:eastAsia="Times New Roman" w:hAnsi="Arial" w:cs="Arial"/>
                <w:color w:val="000000"/>
                <w:kern w:val="0"/>
                <w:sz w:val="20"/>
                <w:szCs w:val="20"/>
                <w14:ligatures w14:val="none"/>
              </w:rPr>
            </w:pPr>
            <w:r w:rsidRPr="00537BD4">
              <w:rPr>
                <w:rFonts w:ascii="Times New Roman" w:eastAsia="Times New Roman" w:hAnsi="Times New Roman" w:cs="Times New Roman"/>
                <w:color w:val="000000"/>
                <w:kern w:val="0"/>
                <w:sz w:val="20"/>
                <w:szCs w:val="20"/>
                <w14:ligatures w14:val="none"/>
              </w:rPr>
              <w:t> </w:t>
            </w:r>
            <w:r w:rsidRPr="00537BD4">
              <w:rPr>
                <w:rFonts w:ascii="Arial" w:eastAsia="Times New Roman" w:hAnsi="Arial" w:cs="Arial"/>
                <w:i/>
                <w:iCs/>
                <w:color w:val="000000"/>
                <w:kern w:val="0"/>
                <w:sz w:val="20"/>
                <w:szCs w:val="20"/>
                <w14:ligatures w14:val="none"/>
              </w:rPr>
              <w:t>“</w:t>
            </w:r>
            <w:r w:rsidRPr="00537BD4">
              <w:rPr>
                <w:rFonts w:ascii="Arial" w:eastAsia="Times New Roman" w:hAnsi="Arial" w:cs="Arial"/>
                <w:color w:val="000000"/>
                <w:kern w:val="0"/>
                <w:sz w:val="20"/>
                <w:szCs w:val="20"/>
                <w14:ligatures w14:val="none"/>
              </w:rPr>
              <w:t xml:space="preserve">As a state initiative, implementing </w:t>
            </w:r>
            <w:proofErr w:type="spellStart"/>
            <w:r w:rsidRPr="00537BD4">
              <w:rPr>
                <w:rFonts w:ascii="Arial" w:eastAsia="Times New Roman" w:hAnsi="Arial" w:cs="Arial"/>
                <w:color w:val="000000"/>
                <w:kern w:val="0"/>
                <w:sz w:val="20"/>
                <w:szCs w:val="20"/>
                <w14:ligatures w14:val="none"/>
              </w:rPr>
              <w:t>edTPA</w:t>
            </w:r>
            <w:proofErr w:type="spellEnd"/>
            <w:r w:rsidRPr="00537BD4">
              <w:rPr>
                <w:rFonts w:ascii="Arial" w:eastAsia="Times New Roman" w:hAnsi="Arial" w:cs="Arial"/>
                <w:color w:val="000000"/>
                <w:kern w:val="0"/>
                <w:sz w:val="20"/>
                <w:szCs w:val="20"/>
                <w14:ligatures w14:val="none"/>
              </w:rPr>
              <w:t xml:space="preserve"> as a licensure requirement was angst-ridden in Georgia</w:t>
            </w:r>
            <w:r w:rsidRPr="00537BD4">
              <w:rPr>
                <w:rFonts w:ascii="Arial" w:eastAsia="Times New Roman" w:hAnsi="Arial" w:cs="Arial"/>
                <w:i/>
                <w:iCs/>
                <w:color w:val="000000"/>
                <w:kern w:val="0"/>
                <w:sz w:val="20"/>
                <w:szCs w:val="20"/>
                <w14:ligatures w14:val="none"/>
              </w:rPr>
              <w:t>…</w:t>
            </w:r>
            <w:r w:rsidRPr="00537BD4">
              <w:rPr>
                <w:rFonts w:ascii="Arial" w:eastAsia="Times New Roman" w:hAnsi="Arial" w:cs="Arial"/>
                <w:color w:val="000000"/>
                <w:kern w:val="0"/>
                <w:sz w:val="20"/>
                <w:szCs w:val="20"/>
                <w14:ligatures w14:val="none"/>
              </w:rPr>
              <w:t xml:space="preserve"> juggling and attending to competing demands, responsibilities, and roles caused immense levels of stress” (Many et al., 2019, p. 20) - </w:t>
            </w:r>
            <w:r w:rsidRPr="00537BD4">
              <w:rPr>
                <w:rFonts w:ascii="Arial" w:eastAsia="Times New Roman" w:hAnsi="Arial" w:cs="Arial"/>
                <w:i/>
                <w:iCs/>
                <w:color w:val="000000"/>
                <w:kern w:val="0"/>
                <w:sz w:val="20"/>
                <w:szCs w:val="20"/>
                <w14:ligatures w14:val="none"/>
              </w:rPr>
              <w:t>Education Policy Analysis Archives</w:t>
            </w:r>
          </w:p>
        </w:tc>
      </w:tr>
    </w:tbl>
    <w:p w14:paraId="0A609FE5" w14:textId="77777777" w:rsidR="00C7180A" w:rsidRPr="009746F6" w:rsidRDefault="00C7180A" w:rsidP="00C7180A">
      <w:pPr>
        <w:rPr>
          <w:rFonts w:ascii="Times New Roman" w:eastAsia="Times New Roman" w:hAnsi="Times New Roman" w:cs="Times New Roman"/>
          <w:kern w:val="0"/>
          <w14:ligatures w14:val="none"/>
        </w:rPr>
      </w:pPr>
    </w:p>
    <w:p w14:paraId="543BFDFD" w14:textId="36AAB2F2" w:rsidR="00AA7436" w:rsidRPr="005E411D" w:rsidRDefault="00AA7436" w:rsidP="00C7180A">
      <w:pPr>
        <w:rPr>
          <w:rFonts w:ascii="Times New Roman" w:eastAsia="Times New Roman" w:hAnsi="Times New Roman" w:cs="Times New Roman"/>
          <w:kern w:val="0"/>
          <w:sz w:val="23"/>
          <w:szCs w:val="23"/>
          <w14:ligatures w14:val="none"/>
        </w:rPr>
      </w:pPr>
    </w:p>
    <w:sectPr w:rsidR="00AA7436" w:rsidRPr="005E411D" w:rsidSect="0027002B">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DA11" w14:textId="77777777" w:rsidR="0027002B" w:rsidRDefault="0027002B" w:rsidP="00AA7436">
      <w:r>
        <w:separator/>
      </w:r>
    </w:p>
  </w:endnote>
  <w:endnote w:type="continuationSeparator" w:id="0">
    <w:p w14:paraId="51350AC1" w14:textId="77777777" w:rsidR="0027002B" w:rsidRDefault="0027002B" w:rsidP="00A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2063" w14:textId="77777777" w:rsidR="00AA7436" w:rsidRDefault="00AA7436">
    <w:pPr>
      <w:pStyle w:val="Footer"/>
    </w:pPr>
    <w:r>
      <w:rPr>
        <w:noProof/>
      </w:rPr>
      <w:drawing>
        <wp:anchor distT="0" distB="0" distL="114300" distR="114300" simplePos="0" relativeHeight="251659264" behindDoc="0" locked="0" layoutInCell="1" allowOverlap="1" wp14:anchorId="18DB682A" wp14:editId="3437DBDD">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88BE" w14:textId="77777777" w:rsidR="0027002B" w:rsidRDefault="0027002B" w:rsidP="00AA7436">
      <w:r>
        <w:separator/>
      </w:r>
    </w:p>
  </w:footnote>
  <w:footnote w:type="continuationSeparator" w:id="0">
    <w:p w14:paraId="6960B47F" w14:textId="77777777" w:rsidR="0027002B" w:rsidRDefault="0027002B" w:rsidP="00AA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C72" w14:textId="77777777" w:rsidR="00AA7436" w:rsidRDefault="00AA7436">
    <w:pPr>
      <w:pStyle w:val="Header"/>
    </w:pPr>
    <w:r>
      <w:rPr>
        <w:noProof/>
      </w:rPr>
      <w:drawing>
        <wp:anchor distT="0" distB="0" distL="114300" distR="114300" simplePos="0" relativeHeight="251660288" behindDoc="0" locked="0" layoutInCell="1" allowOverlap="1" wp14:anchorId="174A199A" wp14:editId="10C4DBD3">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CCCB" w14:textId="77777777" w:rsidR="00AA7436" w:rsidRDefault="00E84797">
    <w:pPr>
      <w:pStyle w:val="Header"/>
    </w:pPr>
    <w:r>
      <w:rPr>
        <w:noProof/>
      </w:rPr>
      <w:drawing>
        <wp:anchor distT="0" distB="0" distL="114300" distR="114300" simplePos="0" relativeHeight="251661312" behindDoc="0" locked="0" layoutInCell="1" allowOverlap="1" wp14:anchorId="6B31EDF0" wp14:editId="75820A8B">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505E"/>
    <w:multiLevelType w:val="multilevel"/>
    <w:tmpl w:val="D902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E7BEC"/>
    <w:multiLevelType w:val="multilevel"/>
    <w:tmpl w:val="9B7A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04B08"/>
    <w:multiLevelType w:val="multilevel"/>
    <w:tmpl w:val="7158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47DED"/>
    <w:multiLevelType w:val="multilevel"/>
    <w:tmpl w:val="60E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94929"/>
    <w:multiLevelType w:val="multilevel"/>
    <w:tmpl w:val="F63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41D77"/>
    <w:multiLevelType w:val="multilevel"/>
    <w:tmpl w:val="285A7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D3F29"/>
    <w:multiLevelType w:val="hybridMultilevel"/>
    <w:tmpl w:val="2B92F4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996073B"/>
    <w:multiLevelType w:val="multilevel"/>
    <w:tmpl w:val="26A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A785B"/>
    <w:multiLevelType w:val="hybridMultilevel"/>
    <w:tmpl w:val="40F0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77A50"/>
    <w:multiLevelType w:val="multilevel"/>
    <w:tmpl w:val="35A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62475">
    <w:abstractNumId w:val="6"/>
  </w:num>
  <w:num w:numId="2" w16cid:durableId="1663852355">
    <w:abstractNumId w:val="8"/>
  </w:num>
  <w:num w:numId="3" w16cid:durableId="743574919">
    <w:abstractNumId w:val="0"/>
  </w:num>
  <w:num w:numId="4" w16cid:durableId="1904216670">
    <w:abstractNumId w:val="1"/>
  </w:num>
  <w:num w:numId="5" w16cid:durableId="440492516">
    <w:abstractNumId w:val="7"/>
  </w:num>
  <w:num w:numId="6" w16cid:durableId="224948717">
    <w:abstractNumId w:val="2"/>
  </w:num>
  <w:num w:numId="7" w16cid:durableId="1379889831">
    <w:abstractNumId w:val="5"/>
  </w:num>
  <w:num w:numId="8" w16cid:durableId="910312133">
    <w:abstractNumId w:val="4"/>
  </w:num>
  <w:num w:numId="9" w16cid:durableId="1185436239">
    <w:abstractNumId w:val="3"/>
  </w:num>
  <w:num w:numId="10" w16cid:durableId="1410035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5B"/>
    <w:rsid w:val="0027002B"/>
    <w:rsid w:val="003A553B"/>
    <w:rsid w:val="005E411D"/>
    <w:rsid w:val="00620830"/>
    <w:rsid w:val="00AA7436"/>
    <w:rsid w:val="00B1720A"/>
    <w:rsid w:val="00C01A5B"/>
    <w:rsid w:val="00C7180A"/>
    <w:rsid w:val="00D00ECB"/>
    <w:rsid w:val="00D30E7D"/>
    <w:rsid w:val="00D339F0"/>
    <w:rsid w:val="00E84797"/>
    <w:rsid w:val="00F12660"/>
    <w:rsid w:val="00F52397"/>
    <w:rsid w:val="00F7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D07A6"/>
  <w15:chartTrackingRefBased/>
  <w15:docId w15:val="{39E2A8B7-ABB9-7242-84AE-45CB6822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5B"/>
    <w:rPr>
      <w:kern w:val="2"/>
      <w14:ligatures w14:val="standardContextual"/>
    </w:rPr>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style>
  <w:style w:type="character" w:customStyle="1" w:styleId="HeaderChar">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style>
  <w:style w:type="character" w:customStyle="1" w:styleId="FooterChar">
    <w:name w:val="Footer Char"/>
    <w:basedOn w:val="DefaultParagraphFont"/>
    <w:link w:val="Footer"/>
    <w:uiPriority w:val="99"/>
    <w:rsid w:val="00AA7436"/>
  </w:style>
  <w:style w:type="paragraph" w:customStyle="1" w:styleId="paragraph">
    <w:name w:val="paragraph"/>
    <w:basedOn w:val="Normal"/>
    <w:rsid w:val="00C01A5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01A5B"/>
  </w:style>
  <w:style w:type="character" w:customStyle="1" w:styleId="eop">
    <w:name w:val="eop"/>
    <w:basedOn w:val="DefaultParagraphFont"/>
    <w:rsid w:val="00C0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AppData\Local\Microsoft\Windows\INetCache\Content.Outlook\CRHBVSXK\CEA%20Letterhead%20Feb%202024_Govern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71DEF-1C90-4BF1-B23D-9A3D3F81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42D9F-67FB-4D2B-9B27-E9F941AF31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297BC-46E7-4FC9-843F-8610010C2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CEA Letterhead Feb 2024_Governance</Template>
  <TotalTime>5</TotalTime>
  <Pages>4</Pages>
  <Words>1378</Words>
  <Characters>7478</Characters>
  <Application>Microsoft Office Word</Application>
  <DocSecurity>0</DocSecurity>
  <Lines>138</Lines>
  <Paragraphs>51</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Rosado Burch</dc:creator>
  <cp:keywords/>
  <dc:description/>
  <cp:lastModifiedBy>Neal, Kenneth [CT]</cp:lastModifiedBy>
  <cp:revision>2</cp:revision>
  <dcterms:created xsi:type="dcterms:W3CDTF">2024-03-11T19:28:00Z</dcterms:created>
  <dcterms:modified xsi:type="dcterms:W3CDTF">2024-03-11T19:28:00Z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y fmtid="{D5CDD505-2E9C-101B-9397-08002B2CF9AE}" pid="3" name="GrammarlyDocumentId">
    <vt:lpwstr>a5b03f54df3b0ca8afe7845ae291471398f5795620bc367fafb97e32e3cac5ca</vt:lpwstr>
  </property>
</Properties>
</file>